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A495D" w:rsidRPr="00EE6B6A" w:rsidRDefault="008A495D" w:rsidP="00510BA5">
      <w:pPr>
        <w:tabs>
          <w:tab w:val="left" w:pos="8080"/>
          <w:tab w:val="left" w:pos="21263"/>
        </w:tabs>
        <w:spacing w:line="360" w:lineRule="auto"/>
        <w:ind w:right="-23"/>
        <w:rPr>
          <w:rFonts w:ascii="Times New Roman" w:hAnsi="Times New Roman"/>
          <w:b/>
          <w:sz w:val="24"/>
          <w:szCs w:val="24"/>
          <w:lang w:val="en-US"/>
        </w:rPr>
      </w:pPr>
      <w:r w:rsidRPr="00EE6B6A">
        <w:rPr>
          <w:rFonts w:ascii="Times New Roman" w:hAnsi="Times New Roman"/>
          <w:b/>
          <w:sz w:val="24"/>
          <w:szCs w:val="24"/>
          <w:lang w:val="en-US"/>
        </w:rPr>
        <w:t>Genetic hypersensitivity to ionizing radiation  E</w:t>
      </w:r>
      <w:r>
        <w:rPr>
          <w:rFonts w:ascii="Times New Roman" w:hAnsi="Times New Roman"/>
          <w:b/>
          <w:sz w:val="24"/>
          <w:szCs w:val="24"/>
          <w:lang w:val="en-US"/>
        </w:rPr>
        <w:t>SA 22.3.2012</w:t>
      </w:r>
    </w:p>
    <w:p w:rsidR="008A495D" w:rsidRPr="00EE6B6A" w:rsidRDefault="008A495D" w:rsidP="00510BA5">
      <w:pPr>
        <w:tabs>
          <w:tab w:val="left" w:pos="9356"/>
          <w:tab w:val="left" w:pos="21263"/>
        </w:tabs>
        <w:spacing w:line="360" w:lineRule="auto"/>
        <w:ind w:right="-23"/>
        <w:rPr>
          <w:rFonts w:ascii="Times New Roman" w:hAnsi="Times New Roman"/>
          <w:sz w:val="24"/>
          <w:szCs w:val="24"/>
          <w:lang w:val="en-US"/>
        </w:rPr>
      </w:pPr>
    </w:p>
    <w:p w:rsidR="008A495D" w:rsidRPr="00510BA5" w:rsidRDefault="008A495D" w:rsidP="00510BA5">
      <w:pPr>
        <w:tabs>
          <w:tab w:val="left" w:pos="9356"/>
          <w:tab w:val="left" w:pos="21263"/>
        </w:tabs>
        <w:spacing w:line="360" w:lineRule="auto"/>
        <w:ind w:right="-23"/>
        <w:rPr>
          <w:rFonts w:ascii="Times New Roman" w:hAnsi="Times New Roman"/>
          <w:sz w:val="24"/>
          <w:szCs w:val="24"/>
        </w:rPr>
      </w:pPr>
      <w:r w:rsidRPr="00510BA5">
        <w:rPr>
          <w:rFonts w:ascii="Times New Roman" w:hAnsi="Times New Roman"/>
          <w:sz w:val="24"/>
          <w:szCs w:val="24"/>
        </w:rPr>
        <w:t>Minna Kankuri-Tammilehto</w:t>
      </w:r>
      <w:r w:rsidRPr="00510BA5">
        <w:rPr>
          <w:rFonts w:ascii="Times New Roman" w:hAnsi="Times New Roman"/>
          <w:sz w:val="24"/>
          <w:szCs w:val="24"/>
          <w:vertAlign w:val="superscript"/>
        </w:rPr>
        <w:t>1</w:t>
      </w:r>
      <w:r w:rsidRPr="00510BA5">
        <w:rPr>
          <w:rFonts w:ascii="Times New Roman" w:hAnsi="Times New Roman"/>
          <w:sz w:val="24"/>
          <w:szCs w:val="24"/>
        </w:rPr>
        <w:t>, PhD, MD; Eeva Salminen</w:t>
      </w:r>
      <w:r w:rsidRPr="00510BA5">
        <w:rPr>
          <w:rFonts w:ascii="Times New Roman" w:hAnsi="Times New Roman"/>
          <w:sz w:val="24"/>
          <w:szCs w:val="24"/>
          <w:vertAlign w:val="superscript"/>
        </w:rPr>
        <w:t>2</w:t>
      </w:r>
      <w:r w:rsidRPr="00510BA5">
        <w:rPr>
          <w:rFonts w:ascii="Times New Roman" w:hAnsi="Times New Roman"/>
          <w:sz w:val="24"/>
          <w:szCs w:val="24"/>
        </w:rPr>
        <w:t>, PhD, MD</w:t>
      </w:r>
    </w:p>
    <w:p w:rsidR="008A495D" w:rsidRPr="00510BA5" w:rsidRDefault="008A495D" w:rsidP="00510BA5">
      <w:pPr>
        <w:tabs>
          <w:tab w:val="left" w:pos="9356"/>
          <w:tab w:val="left" w:pos="21263"/>
        </w:tabs>
        <w:spacing w:line="360" w:lineRule="auto"/>
        <w:ind w:right="-23"/>
        <w:rPr>
          <w:rFonts w:ascii="Times New Roman" w:hAnsi="Times New Roman"/>
          <w:sz w:val="24"/>
          <w:szCs w:val="24"/>
          <w:lang w:val="en-US"/>
        </w:rPr>
      </w:pPr>
      <w:r w:rsidRPr="00510BA5">
        <w:rPr>
          <w:rFonts w:ascii="Times New Roman" w:hAnsi="Times New Roman"/>
          <w:sz w:val="24"/>
          <w:szCs w:val="24"/>
          <w:vertAlign w:val="superscript"/>
          <w:lang w:val="en-US"/>
        </w:rPr>
        <w:t>1</w:t>
      </w:r>
      <w:r w:rsidRPr="00510BA5">
        <w:rPr>
          <w:rFonts w:ascii="Times New Roman" w:hAnsi="Times New Roman"/>
          <w:sz w:val="24"/>
          <w:szCs w:val="24"/>
          <w:lang w:val="en-US"/>
        </w:rPr>
        <w:t xml:space="preserve">Dept. of Clinical Genetics, </w:t>
      </w:r>
      <w:r w:rsidRPr="00510BA5">
        <w:rPr>
          <w:rFonts w:ascii="Times New Roman" w:hAnsi="Times New Roman"/>
          <w:sz w:val="24"/>
          <w:szCs w:val="24"/>
          <w:vertAlign w:val="superscript"/>
          <w:lang w:val="en-US"/>
        </w:rPr>
        <w:t>2</w:t>
      </w:r>
      <w:r w:rsidRPr="00510BA5">
        <w:rPr>
          <w:rFonts w:ascii="Times New Roman" w:hAnsi="Times New Roman"/>
          <w:sz w:val="24"/>
          <w:szCs w:val="24"/>
          <w:lang w:val="en-US"/>
        </w:rPr>
        <w:t>Dept. of Oncology and Radiotherapy</w:t>
      </w:r>
    </w:p>
    <w:p w:rsidR="008A495D" w:rsidRPr="00510BA5" w:rsidRDefault="008A495D" w:rsidP="00510BA5">
      <w:pPr>
        <w:tabs>
          <w:tab w:val="left" w:pos="9356"/>
          <w:tab w:val="left" w:pos="21263"/>
        </w:tabs>
        <w:spacing w:line="360" w:lineRule="auto"/>
        <w:ind w:right="-23"/>
        <w:rPr>
          <w:rFonts w:ascii="Times New Roman" w:hAnsi="Times New Roman"/>
          <w:sz w:val="24"/>
          <w:szCs w:val="24"/>
          <w:lang w:val="en-US"/>
        </w:rPr>
      </w:pPr>
      <w:r w:rsidRPr="00510BA5">
        <w:rPr>
          <w:rFonts w:ascii="Times New Roman" w:hAnsi="Times New Roman"/>
          <w:sz w:val="24"/>
          <w:szCs w:val="24"/>
          <w:lang w:val="en-US"/>
        </w:rPr>
        <w:t>Turku University Hospital and STUK, Radiation and Nuclear Safety Authority</w:t>
      </w:r>
    </w:p>
    <w:p w:rsidR="008A495D" w:rsidRPr="00510BA5" w:rsidRDefault="008A495D" w:rsidP="00510BA5">
      <w:pPr>
        <w:tabs>
          <w:tab w:val="left" w:pos="9356"/>
          <w:tab w:val="left" w:pos="21263"/>
        </w:tabs>
        <w:spacing w:line="360" w:lineRule="auto"/>
        <w:ind w:right="-23"/>
        <w:rPr>
          <w:rFonts w:ascii="Times New Roman" w:hAnsi="Times New Roman"/>
          <w:sz w:val="24"/>
          <w:szCs w:val="24"/>
          <w:lang w:val="en-US"/>
        </w:rPr>
      </w:pPr>
      <w:r w:rsidRPr="00510BA5">
        <w:rPr>
          <w:rFonts w:ascii="Times New Roman" w:hAnsi="Times New Roman"/>
          <w:sz w:val="24"/>
          <w:szCs w:val="24"/>
          <w:lang w:val="en-US"/>
        </w:rPr>
        <w:t>Helsinki, Finland</w:t>
      </w:r>
    </w:p>
    <w:p w:rsidR="008A495D" w:rsidRPr="00510BA5" w:rsidRDefault="008A495D" w:rsidP="00510BA5">
      <w:pPr>
        <w:tabs>
          <w:tab w:val="left" w:pos="9356"/>
          <w:tab w:val="left" w:pos="21263"/>
        </w:tabs>
        <w:spacing w:line="360" w:lineRule="auto"/>
        <w:ind w:right="-23"/>
        <w:rPr>
          <w:rFonts w:ascii="Times New Roman" w:hAnsi="Times New Roman"/>
          <w:sz w:val="24"/>
          <w:szCs w:val="24"/>
          <w:lang w:val="en-US"/>
        </w:rPr>
      </w:pPr>
    </w:p>
    <w:p w:rsidR="008A495D" w:rsidRPr="00510BA5" w:rsidRDefault="008A495D" w:rsidP="00510BA5">
      <w:pPr>
        <w:pStyle w:val="Heading1"/>
        <w:tabs>
          <w:tab w:val="left" w:pos="9356"/>
          <w:tab w:val="left" w:pos="21263"/>
        </w:tabs>
        <w:spacing w:line="360" w:lineRule="auto"/>
        <w:ind w:right="-23"/>
        <w:rPr>
          <w:rFonts w:ascii="Times New Roman" w:hAnsi="Times New Roman"/>
          <w:color w:val="auto"/>
          <w:sz w:val="24"/>
          <w:szCs w:val="24"/>
          <w:lang w:val="en-US"/>
        </w:rPr>
      </w:pPr>
      <w:r w:rsidRPr="00510BA5">
        <w:rPr>
          <w:rFonts w:ascii="Times New Roman" w:hAnsi="Times New Roman"/>
          <w:color w:val="auto"/>
          <w:sz w:val="24"/>
          <w:szCs w:val="24"/>
          <w:lang w:val="en-US"/>
        </w:rPr>
        <w:t>Abstract</w:t>
      </w:r>
    </w:p>
    <w:p w:rsidR="008A495D" w:rsidRPr="00510BA5" w:rsidRDefault="008A495D" w:rsidP="00510BA5">
      <w:pPr>
        <w:tabs>
          <w:tab w:val="left" w:pos="9356"/>
          <w:tab w:val="left" w:pos="21263"/>
        </w:tabs>
        <w:spacing w:line="360" w:lineRule="auto"/>
        <w:ind w:right="-23"/>
        <w:rPr>
          <w:rFonts w:ascii="Times New Roman" w:hAnsi="Times New Roman"/>
          <w:sz w:val="24"/>
          <w:szCs w:val="24"/>
          <w:lang w:val="en-US"/>
        </w:rPr>
      </w:pPr>
    </w:p>
    <w:p w:rsidR="008A495D" w:rsidRPr="00EE476F" w:rsidRDefault="008A495D" w:rsidP="00510BA5">
      <w:pPr>
        <w:tabs>
          <w:tab w:val="left" w:pos="9356"/>
          <w:tab w:val="left" w:pos="21263"/>
        </w:tabs>
        <w:spacing w:line="360" w:lineRule="auto"/>
        <w:ind w:right="-23"/>
        <w:rPr>
          <w:rFonts w:ascii="Times New Roman" w:hAnsi="Times New Roman"/>
          <w:sz w:val="24"/>
          <w:szCs w:val="24"/>
          <w:lang w:val="en-US"/>
        </w:rPr>
      </w:pPr>
      <w:r w:rsidRPr="00510BA5">
        <w:rPr>
          <w:rFonts w:ascii="Times New Roman" w:hAnsi="Times New Roman"/>
          <w:sz w:val="24"/>
          <w:szCs w:val="24"/>
          <w:lang w:val="en-US"/>
        </w:rPr>
        <w:t xml:space="preserve"> Exposure to medical radiation has increased over the past years significantly and it constitutes to a major part of exposure to radiation in high income countries. Genetic hypersensitivity to ionizing radiation has been observed in subjects carrying some genetic syndromes. On cellular level specific gene expression seems to correlate with cancer cell sensitivity to radiation.</w:t>
      </w:r>
      <w:r w:rsidRPr="00510BA5">
        <w:rPr>
          <w:rFonts w:ascii="Times New Roman" w:hAnsi="Times New Roman" w:cs="+mn-cs"/>
          <w:color w:val="000000"/>
          <w:kern w:val="24"/>
          <w:sz w:val="24"/>
          <w:szCs w:val="40"/>
          <w:lang w:val="en-US" w:eastAsia="fi-FI"/>
        </w:rPr>
        <w:t xml:space="preserve"> </w:t>
      </w:r>
      <w:r w:rsidRPr="00510BA5">
        <w:rPr>
          <w:rFonts w:ascii="Times New Roman" w:hAnsi="Times New Roman"/>
          <w:sz w:val="24"/>
          <w:lang w:val="en-US"/>
        </w:rPr>
        <w:t xml:space="preserve">Eight syndromes with hereditary genetic sensitivity were identified. Additionally, genetic profiles with increased cancer cell sensitivity have been reported. </w:t>
      </w:r>
      <w:r w:rsidRPr="00510BA5">
        <w:rPr>
          <w:rFonts w:ascii="Times New Roman" w:hAnsi="Times New Roman"/>
          <w:sz w:val="24"/>
          <w:szCs w:val="24"/>
          <w:lang w:val="en-US"/>
        </w:rPr>
        <w:t xml:space="preserve">Radiosensitive phenotypes are important in prediction of individual radiation sensitivity. In future the challenge is to manage the use of appropriate </w:t>
      </w:r>
      <w:r w:rsidRPr="00EE476F">
        <w:rPr>
          <w:rFonts w:ascii="Times New Roman" w:hAnsi="Times New Roman"/>
          <w:sz w:val="24"/>
          <w:szCs w:val="24"/>
          <w:lang w:val="en-US"/>
        </w:rPr>
        <w:t xml:space="preserve">diagnostic imaging and to investigate the optimal fractionation of radiotherapy (RT) in patients with radiosensitive genotype and to apply the knowledge on cellular radiation sensitivity.  </w:t>
      </w:r>
      <w:r w:rsidRPr="00EE476F">
        <w:rPr>
          <w:rFonts w:ascii="Times New Roman" w:hAnsi="Times New Roman"/>
          <w:color w:val="333333"/>
          <w:sz w:val="24"/>
          <w:szCs w:val="24"/>
          <w:lang w:val="en-US"/>
        </w:rPr>
        <w:t>The ability to understand human genetic variation and radiation sensitivity leads toward personalized medicine in radiation applications in health care.</w:t>
      </w:r>
    </w:p>
    <w:p w:rsidR="008A495D" w:rsidRDefault="008A495D" w:rsidP="00510BA5">
      <w:pPr>
        <w:tabs>
          <w:tab w:val="left" w:pos="9356"/>
          <w:tab w:val="left" w:pos="21263"/>
        </w:tabs>
        <w:spacing w:line="360" w:lineRule="auto"/>
        <w:ind w:right="-23"/>
        <w:rPr>
          <w:rFonts w:ascii="Times New Roman" w:hAnsi="Times New Roman"/>
          <w:sz w:val="24"/>
          <w:szCs w:val="24"/>
          <w:lang w:val="en-US"/>
        </w:rPr>
      </w:pPr>
    </w:p>
    <w:p w:rsidR="008A495D" w:rsidRPr="00510BA5" w:rsidRDefault="008A495D" w:rsidP="00510BA5">
      <w:pPr>
        <w:tabs>
          <w:tab w:val="left" w:pos="9356"/>
          <w:tab w:val="left" w:pos="21263"/>
        </w:tabs>
        <w:spacing w:line="360" w:lineRule="auto"/>
        <w:ind w:right="-23"/>
        <w:rPr>
          <w:rFonts w:ascii="Times New Roman" w:hAnsi="Times New Roman"/>
          <w:sz w:val="24"/>
          <w:szCs w:val="24"/>
          <w:lang w:val="en-US"/>
        </w:rPr>
      </w:pPr>
      <w:r w:rsidRPr="00275371">
        <w:rPr>
          <w:rFonts w:ascii="Times New Roman" w:hAnsi="Times New Roman"/>
          <w:b/>
          <w:sz w:val="24"/>
          <w:szCs w:val="24"/>
          <w:lang w:val="en-US"/>
        </w:rPr>
        <w:t>Keywords</w:t>
      </w:r>
      <w:r w:rsidRPr="00510BA5">
        <w:rPr>
          <w:rFonts w:ascii="Times New Roman" w:hAnsi="Times New Roman"/>
          <w:sz w:val="24"/>
          <w:szCs w:val="24"/>
          <w:lang w:val="en-US"/>
        </w:rPr>
        <w:t>: medical radiation, genetic hypersensitivity, ionizing radiation</w:t>
      </w:r>
    </w:p>
    <w:p w:rsidR="008A495D" w:rsidRPr="002E792C" w:rsidRDefault="008A495D" w:rsidP="002E792C">
      <w:pPr>
        <w:tabs>
          <w:tab w:val="left" w:pos="9356"/>
          <w:tab w:val="left" w:pos="21263"/>
        </w:tabs>
        <w:spacing w:line="360" w:lineRule="auto"/>
        <w:ind w:right="-23"/>
        <w:rPr>
          <w:rFonts w:ascii="Times New Roman" w:hAnsi="Times New Roman"/>
          <w:b/>
          <w:sz w:val="24"/>
          <w:szCs w:val="24"/>
          <w:lang w:val="en-US"/>
        </w:rPr>
      </w:pPr>
      <w:r w:rsidRPr="00510BA5">
        <w:rPr>
          <w:rFonts w:ascii="Times New Roman" w:hAnsi="Times New Roman"/>
          <w:sz w:val="24"/>
          <w:szCs w:val="24"/>
          <w:lang w:val="en-US"/>
        </w:rPr>
        <w:br w:type="page"/>
      </w:r>
      <w:r w:rsidRPr="002E792C">
        <w:rPr>
          <w:rFonts w:ascii="Times New Roman" w:hAnsi="Times New Roman"/>
          <w:b/>
          <w:sz w:val="24"/>
          <w:szCs w:val="24"/>
          <w:lang w:val="en-US"/>
        </w:rPr>
        <w:t>Genetic effects of ionizing radiation</w:t>
      </w:r>
    </w:p>
    <w:p w:rsidR="008A495D" w:rsidRPr="00510BA5" w:rsidRDefault="008A495D" w:rsidP="00510BA5">
      <w:pPr>
        <w:tabs>
          <w:tab w:val="left" w:pos="9356"/>
          <w:tab w:val="left" w:pos="21263"/>
        </w:tabs>
        <w:spacing w:line="360" w:lineRule="auto"/>
        <w:ind w:right="-23"/>
        <w:rPr>
          <w:rFonts w:ascii="Times New Roman" w:hAnsi="Times New Roman"/>
          <w:sz w:val="24"/>
          <w:szCs w:val="24"/>
          <w:lang w:val="en-US"/>
        </w:rPr>
      </w:pPr>
    </w:p>
    <w:p w:rsidR="008A495D" w:rsidRPr="00510BA5" w:rsidRDefault="008A495D" w:rsidP="002E792C">
      <w:pPr>
        <w:tabs>
          <w:tab w:val="left" w:pos="9356"/>
          <w:tab w:val="left" w:pos="21263"/>
        </w:tabs>
        <w:spacing w:line="360" w:lineRule="auto"/>
        <w:ind w:right="-23"/>
        <w:jc w:val="both"/>
        <w:rPr>
          <w:rFonts w:ascii="Times New Roman" w:hAnsi="Times New Roman" w:cs="Calibri"/>
          <w:sz w:val="24"/>
          <w:szCs w:val="24"/>
          <w:lang w:val="en-US"/>
        </w:rPr>
      </w:pPr>
      <w:r w:rsidRPr="00510BA5">
        <w:rPr>
          <w:rFonts w:ascii="Times New Roman" w:hAnsi="Times New Roman" w:cs="Calibri"/>
          <w:sz w:val="24"/>
          <w:szCs w:val="24"/>
          <w:lang w:val="en-US"/>
        </w:rPr>
        <w:t xml:space="preserve">Ionizing radiation (IR) includes electromagnetic waves of very short wavelength (x-rays and gamma-rays) and high-energy particles (alpha particles, beta particles and neutrons) in which X-rays, gamma rays and neutrons have a great penetrating power. The proportional share of medical radiation due to computed tomography imaging has increased substantially in high income countries contributing to the biggest share in general medical radiation exposure (UNSCEAR 2008). </w:t>
      </w:r>
      <w:r>
        <w:rPr>
          <w:rFonts w:ascii="Times New Roman" w:hAnsi="Times New Roman" w:cs="Calibri"/>
          <w:sz w:val="24"/>
          <w:szCs w:val="24"/>
          <w:lang w:val="en-US"/>
        </w:rPr>
        <w:t>Risks included in radiation are of concern among subjects with inherited sensitivity to radiation (Clarke and Southwood 1989)</w:t>
      </w:r>
    </w:p>
    <w:p w:rsidR="008A495D" w:rsidRPr="00510BA5" w:rsidRDefault="008A495D" w:rsidP="00510BA5">
      <w:pPr>
        <w:tabs>
          <w:tab w:val="left" w:pos="12333"/>
        </w:tabs>
        <w:spacing w:line="360" w:lineRule="auto"/>
        <w:ind w:right="-23"/>
        <w:jc w:val="both"/>
        <w:rPr>
          <w:rFonts w:ascii="Times New Roman" w:hAnsi="Times New Roman" w:cs="Calibri"/>
          <w:sz w:val="24"/>
          <w:szCs w:val="24"/>
          <w:lang w:val="en-US"/>
        </w:rPr>
      </w:pPr>
      <w:r w:rsidRPr="00510BA5">
        <w:rPr>
          <w:rFonts w:ascii="Times New Roman" w:hAnsi="Times New Roman" w:cs="Calibri"/>
          <w:sz w:val="24"/>
          <w:szCs w:val="24"/>
          <w:lang w:val="en-US"/>
        </w:rPr>
        <w:t>Normally, the majority of mutations in cells occur spontaneously, and they occur through errors in DNA replication and repair. I</w:t>
      </w:r>
      <w:r>
        <w:rPr>
          <w:rFonts w:ascii="Times New Roman" w:hAnsi="Times New Roman" w:cs="Calibri"/>
          <w:sz w:val="24"/>
          <w:szCs w:val="24"/>
          <w:lang w:val="en-US"/>
        </w:rPr>
        <w:t xml:space="preserve">onizing radiation has both </w:t>
      </w:r>
      <w:r w:rsidRPr="00510BA5">
        <w:rPr>
          <w:rFonts w:ascii="Times New Roman" w:hAnsi="Times New Roman" w:cs="Calibri"/>
          <w:sz w:val="24"/>
          <w:szCs w:val="24"/>
          <w:lang w:val="en-US"/>
        </w:rPr>
        <w:t>mutagenic and carcinogenic effects.  IR induces DNA double-strand breaks, which can result in loss or rearrangement of genomic material leading to cell death or carcinogenesis. Normally, the cellular mechanisms involved include DNA repair, cell cycle checkpoint arrest, and apoptosis, which together serve to limit the generation of mutations and the proliferation of damaged cells. No threshold for the mutagenic effect with IR has been identified. However, it has been observed that a larger dose of IR causes more mutations than a smaller one.</w:t>
      </w:r>
    </w:p>
    <w:p w:rsidR="008A495D" w:rsidRPr="00510BA5" w:rsidRDefault="008A495D" w:rsidP="00510BA5">
      <w:pPr>
        <w:tabs>
          <w:tab w:val="left" w:pos="12333"/>
        </w:tabs>
        <w:spacing w:line="360" w:lineRule="auto"/>
        <w:ind w:right="-23"/>
        <w:jc w:val="both"/>
        <w:rPr>
          <w:rFonts w:ascii="Times New Roman" w:hAnsi="Times New Roman" w:cs="Calibri"/>
          <w:sz w:val="24"/>
          <w:szCs w:val="24"/>
          <w:lang w:val="en-US"/>
        </w:rPr>
      </w:pPr>
      <w:r w:rsidRPr="00510BA5">
        <w:rPr>
          <w:rFonts w:ascii="Times New Roman" w:hAnsi="Times New Roman" w:cs="Calibri"/>
          <w:sz w:val="24"/>
          <w:szCs w:val="24"/>
          <w:lang w:val="en-US"/>
        </w:rPr>
        <w:t xml:space="preserve">IR has a cumulative genetic effect in man. Children are more sensitive to </w:t>
      </w:r>
      <w:r>
        <w:rPr>
          <w:rFonts w:ascii="Times New Roman" w:hAnsi="Times New Roman" w:cs="Calibri"/>
          <w:sz w:val="24"/>
          <w:szCs w:val="24"/>
          <w:lang w:val="en-US"/>
        </w:rPr>
        <w:t xml:space="preserve">radiation (Preston et al 2003) and to </w:t>
      </w:r>
      <w:r w:rsidRPr="00510BA5">
        <w:rPr>
          <w:rFonts w:ascii="Times New Roman" w:hAnsi="Times New Roman" w:cs="Calibri"/>
          <w:sz w:val="24"/>
          <w:szCs w:val="24"/>
          <w:lang w:val="en-US"/>
        </w:rPr>
        <w:t>carcinogenic effects of ionizing radiation than adults (Kleinerman et al. 2009). Radiotherapy when used for benign diseases has increased the risk for certain IR related tumors, such as leukemia or thyroid cancer (Kleinerman et al. 2009). Therapeutic levels of IR  during the first months of pregnancy delivered to a  fetus can cause an increased risk of major anomalies. Exposure of gonads to IR at any time before conception may have a low risk of producing a pathogenic mutation to the offspring. However, previous cancer treatments including therapeutic IR on other regions and non pregnant women have not been reported to increase the risk for inherited genetic diseases in t</w:t>
      </w:r>
      <w:r>
        <w:rPr>
          <w:rFonts w:ascii="Times New Roman" w:hAnsi="Times New Roman" w:cs="Calibri"/>
          <w:sz w:val="24"/>
          <w:szCs w:val="24"/>
          <w:lang w:val="en-US"/>
        </w:rPr>
        <w:t>he offspring</w:t>
      </w:r>
      <w:r w:rsidRPr="00510BA5">
        <w:rPr>
          <w:rFonts w:ascii="Times New Roman" w:hAnsi="Times New Roman" w:cs="Calibri"/>
          <w:sz w:val="24"/>
          <w:szCs w:val="24"/>
          <w:lang w:val="en-US"/>
        </w:rPr>
        <w:t xml:space="preserve">. Somatic mutations my cause adult onset disease such as cancer, but the tendency does not seem to be transferred to offspring. </w:t>
      </w:r>
    </w:p>
    <w:p w:rsidR="008A495D" w:rsidRDefault="008A495D" w:rsidP="002E792C">
      <w:pPr>
        <w:pStyle w:val="Heading1"/>
        <w:tabs>
          <w:tab w:val="left" w:pos="12333"/>
        </w:tabs>
        <w:spacing w:line="360" w:lineRule="auto"/>
        <w:ind w:right="-23"/>
        <w:rPr>
          <w:rFonts w:ascii="Times New Roman" w:hAnsi="Times New Roman"/>
          <w:color w:val="auto"/>
          <w:sz w:val="24"/>
          <w:szCs w:val="24"/>
          <w:lang w:val="en-US"/>
        </w:rPr>
      </w:pPr>
      <w:r w:rsidRPr="00510BA5">
        <w:rPr>
          <w:rFonts w:ascii="Times New Roman" w:hAnsi="Times New Roman"/>
          <w:color w:val="auto"/>
          <w:sz w:val="24"/>
          <w:szCs w:val="24"/>
          <w:lang w:val="en-US"/>
        </w:rPr>
        <w:t>Hypersensitivity to ionizing radiation in certain inherited cancer predisposition syndromes</w:t>
      </w:r>
    </w:p>
    <w:p w:rsidR="008A495D" w:rsidRPr="002E792C" w:rsidRDefault="008A495D" w:rsidP="002E792C">
      <w:pPr>
        <w:rPr>
          <w:lang w:val="en-US"/>
        </w:rPr>
      </w:pPr>
    </w:p>
    <w:p w:rsidR="008A495D" w:rsidRPr="00510BA5" w:rsidRDefault="008A495D" w:rsidP="00510BA5">
      <w:pPr>
        <w:tabs>
          <w:tab w:val="left" w:pos="12333"/>
        </w:tabs>
        <w:spacing w:line="360" w:lineRule="auto"/>
        <w:ind w:right="-23"/>
        <w:jc w:val="both"/>
        <w:rPr>
          <w:rFonts w:ascii="Times New Roman" w:hAnsi="Times New Roman" w:cs="Calibri"/>
          <w:sz w:val="24"/>
          <w:szCs w:val="24"/>
          <w:lang w:val="en-US"/>
        </w:rPr>
      </w:pPr>
      <w:r w:rsidRPr="00510BA5">
        <w:rPr>
          <w:rFonts w:ascii="Times New Roman" w:hAnsi="Times New Roman" w:cs="Calibri"/>
          <w:sz w:val="24"/>
          <w:szCs w:val="24"/>
          <w:lang w:val="en-US"/>
        </w:rPr>
        <w:t>Several factors contribute to the development of cancer among persons with previous radiotherapy or certain inherited cancer predisposition syndromes. The factors include inactivation of tumor suppressor genes, alterations in DNA repair genes and immunodeficiency. Classical two-hit hypothesis describes that somatic mutations are needed before cancer predisposition occurs among subjects with inherited mutated tumor suppr</w:t>
      </w:r>
      <w:r>
        <w:rPr>
          <w:rFonts w:ascii="Times New Roman" w:hAnsi="Times New Roman" w:cs="Calibri"/>
          <w:sz w:val="24"/>
          <w:szCs w:val="24"/>
          <w:lang w:val="en-US"/>
        </w:rPr>
        <w:t>essor genes (Knudson 1991</w:t>
      </w:r>
      <w:r w:rsidRPr="00510BA5">
        <w:rPr>
          <w:rFonts w:ascii="Times New Roman" w:hAnsi="Times New Roman" w:cs="Calibri"/>
          <w:sz w:val="24"/>
          <w:szCs w:val="24"/>
          <w:lang w:val="en-US"/>
        </w:rPr>
        <w:t>). Less than 10 % of tumors are associated with inherited cancer predisposition syndrome.</w:t>
      </w:r>
    </w:p>
    <w:p w:rsidR="008A495D" w:rsidRPr="00510BA5" w:rsidRDefault="008A495D" w:rsidP="00510BA5">
      <w:pPr>
        <w:tabs>
          <w:tab w:val="left" w:pos="12333"/>
        </w:tabs>
        <w:spacing w:line="360" w:lineRule="auto"/>
        <w:ind w:right="-23"/>
        <w:jc w:val="both"/>
        <w:rPr>
          <w:rFonts w:ascii="Times New Roman" w:hAnsi="Times New Roman" w:cs="Calibri"/>
          <w:sz w:val="24"/>
          <w:szCs w:val="24"/>
          <w:lang w:val="en-US"/>
        </w:rPr>
      </w:pPr>
      <w:r w:rsidRPr="00510BA5">
        <w:rPr>
          <w:rFonts w:ascii="Times New Roman" w:hAnsi="Times New Roman" w:cs="Calibri"/>
          <w:sz w:val="24"/>
          <w:szCs w:val="24"/>
          <w:lang w:val="en-US"/>
        </w:rPr>
        <w:t xml:space="preserve">In Gorlin syndrome (nevoid basall cell carcinoma syndrome) tumors arise with homozygous inactivation of the gene in a two-step mechanism of tumorigenesis (Levanat et al. 1996) which implies that it normally functions as a tumor suppressor. In contrast, hemizygous germ-line mutations lead to multiple congenital anomalies typical in Gorlin syndrome. Epidemiologic studies have shown that children with retinoblastoma (Rb), neurofibromatosis type 1 (NF1), Li-Fraumeni syndrome (LFS), and nevoid basal cell carcinoma syndrome (NBCCS) are at substantial risk of developing IR-related second </w:t>
      </w:r>
    </w:p>
    <w:p w:rsidR="008A495D" w:rsidRPr="00510BA5" w:rsidRDefault="008A495D" w:rsidP="00510BA5">
      <w:pPr>
        <w:spacing w:line="360" w:lineRule="auto"/>
        <w:ind w:right="-30"/>
        <w:jc w:val="both"/>
        <w:rPr>
          <w:rFonts w:ascii="Times New Roman" w:hAnsi="Times New Roman" w:cs="Calibri"/>
          <w:sz w:val="24"/>
          <w:szCs w:val="24"/>
          <w:lang w:val="en-US"/>
        </w:rPr>
      </w:pPr>
      <w:r w:rsidRPr="00510BA5">
        <w:rPr>
          <w:rFonts w:ascii="Times New Roman" w:hAnsi="Times New Roman" w:cs="Calibri"/>
          <w:sz w:val="24"/>
          <w:szCs w:val="24"/>
          <w:lang w:val="en-US"/>
        </w:rPr>
        <w:t>A radiation dose-response for bone and soft-tissue sarcomas has been observed in hereditary Rb patients. In patients with neurofibromatosis 1 radiotherapy should be avoided in the treatment of opticus glioma as the risk of IR-related cancer is clearly defined and opticus glioma usual</w:t>
      </w:r>
      <w:r>
        <w:rPr>
          <w:rFonts w:ascii="Times New Roman" w:hAnsi="Times New Roman" w:cs="Calibri"/>
          <w:sz w:val="24"/>
          <w:szCs w:val="24"/>
          <w:lang w:val="en-US"/>
        </w:rPr>
        <w:t xml:space="preserve">ly behaves as a benign disorder (Kleinerman 2009). </w:t>
      </w:r>
      <w:r w:rsidRPr="00510BA5">
        <w:rPr>
          <w:rFonts w:ascii="Times New Roman" w:hAnsi="Times New Roman" w:cs="Calibri"/>
          <w:sz w:val="24"/>
          <w:szCs w:val="24"/>
          <w:lang w:val="en-US"/>
        </w:rPr>
        <w:t xml:space="preserve"> High relative risks for second and third cancers have been observed in Li-Fraumeni syndrome family members</w:t>
      </w:r>
      <w:r>
        <w:rPr>
          <w:rFonts w:ascii="Times New Roman" w:hAnsi="Times New Roman" w:cs="Calibri"/>
          <w:sz w:val="24"/>
          <w:szCs w:val="24"/>
          <w:lang w:val="en-US"/>
        </w:rPr>
        <w:t>, especially children, possibly related to radiation exposure</w:t>
      </w:r>
      <w:r w:rsidRPr="00510BA5">
        <w:rPr>
          <w:rFonts w:ascii="Times New Roman" w:hAnsi="Times New Roman" w:cs="Calibri"/>
          <w:sz w:val="24"/>
          <w:szCs w:val="24"/>
          <w:lang w:val="en-US"/>
        </w:rPr>
        <w:t>. Children with Gorlin syndrome are very sensitive to IR and develop multiple basal cell cancers in the fields of radiotherapy. Severe reactions to standard doses of radiotherapy have been seen in ataxia teleangiectasia patients</w:t>
      </w:r>
      <w:r>
        <w:rPr>
          <w:rFonts w:ascii="Times New Roman" w:hAnsi="Times New Roman" w:cs="Calibri"/>
          <w:sz w:val="24"/>
          <w:szCs w:val="24"/>
          <w:lang w:val="en-US"/>
        </w:rPr>
        <w:t xml:space="preserve"> (Inskip 2007)</w:t>
      </w:r>
      <w:r w:rsidRPr="00510BA5">
        <w:rPr>
          <w:rFonts w:ascii="Times New Roman" w:hAnsi="Times New Roman" w:cs="Calibri"/>
          <w:sz w:val="24"/>
          <w:szCs w:val="24"/>
          <w:lang w:val="en-US"/>
        </w:rPr>
        <w:t xml:space="preserve">. Approximately 20 % of patients with Bloom’s syndrome develop neoplasms, and half of these before the age of 20 years. In the patients with Bloom’s syndrome ionizing radiation may require reduction of the dosage and / or the duration of the treatment. The </w:t>
      </w:r>
      <w:r>
        <w:rPr>
          <w:rFonts w:ascii="Times New Roman" w:hAnsi="Times New Roman" w:cs="Calibri"/>
          <w:sz w:val="24"/>
          <w:szCs w:val="24"/>
          <w:lang w:val="en-US"/>
        </w:rPr>
        <w:t xml:space="preserve">use of </w:t>
      </w:r>
      <w:r w:rsidRPr="00510BA5">
        <w:rPr>
          <w:rFonts w:ascii="Times New Roman" w:hAnsi="Times New Roman" w:cs="Calibri"/>
          <w:sz w:val="24"/>
          <w:szCs w:val="24"/>
          <w:lang w:val="en-US"/>
        </w:rPr>
        <w:t>computed tomography</w:t>
      </w:r>
      <w:r>
        <w:rPr>
          <w:rFonts w:ascii="Times New Roman" w:hAnsi="Times New Roman" w:cs="Calibri"/>
          <w:sz w:val="24"/>
          <w:szCs w:val="24"/>
          <w:lang w:val="en-US"/>
        </w:rPr>
        <w:t xml:space="preserve"> imaging </w:t>
      </w:r>
      <w:r w:rsidRPr="00510BA5">
        <w:rPr>
          <w:rFonts w:ascii="Times New Roman" w:hAnsi="Times New Roman" w:cs="Calibri"/>
          <w:sz w:val="24"/>
          <w:szCs w:val="24"/>
          <w:lang w:val="en-US"/>
        </w:rPr>
        <w:t xml:space="preserve"> is contraindicated in the patients wit</w:t>
      </w:r>
      <w:r>
        <w:rPr>
          <w:rFonts w:ascii="Times New Roman" w:hAnsi="Times New Roman" w:cs="Calibri"/>
          <w:sz w:val="24"/>
          <w:szCs w:val="24"/>
          <w:lang w:val="en-US"/>
        </w:rPr>
        <w:t>h Nijmegen breakage syndrome, instead,</w:t>
      </w:r>
      <w:r w:rsidRPr="00510BA5">
        <w:rPr>
          <w:rFonts w:ascii="Times New Roman" w:hAnsi="Times New Roman" w:cs="Calibri"/>
          <w:sz w:val="24"/>
          <w:szCs w:val="24"/>
          <w:lang w:val="en-US"/>
        </w:rPr>
        <w:t xml:space="preserve"> magnetic resonance imaging should be the </w:t>
      </w:r>
      <w:r>
        <w:rPr>
          <w:rFonts w:ascii="Times New Roman" w:hAnsi="Times New Roman" w:cs="Calibri"/>
          <w:sz w:val="24"/>
          <w:szCs w:val="24"/>
          <w:lang w:val="en-US"/>
        </w:rPr>
        <w:t xml:space="preserve">imaging </w:t>
      </w:r>
      <w:r w:rsidRPr="00510BA5">
        <w:rPr>
          <w:rFonts w:ascii="Times New Roman" w:hAnsi="Times New Roman" w:cs="Calibri"/>
          <w:sz w:val="24"/>
          <w:szCs w:val="24"/>
          <w:lang w:val="en-US"/>
        </w:rPr>
        <w:t>method</w:t>
      </w:r>
      <w:r>
        <w:rPr>
          <w:rFonts w:ascii="Times New Roman" w:hAnsi="Times New Roman" w:cs="Calibri"/>
          <w:sz w:val="24"/>
          <w:szCs w:val="24"/>
          <w:lang w:val="en-US"/>
        </w:rPr>
        <w:t xml:space="preserve"> of choice </w:t>
      </w:r>
      <w:r w:rsidRPr="00510BA5">
        <w:rPr>
          <w:rFonts w:ascii="Times New Roman" w:hAnsi="Times New Roman" w:cs="Calibri"/>
          <w:sz w:val="24"/>
          <w:szCs w:val="24"/>
          <w:lang w:val="en-US"/>
        </w:rPr>
        <w:t xml:space="preserve"> (Bekiesińska-Figatowska et al. 2004).</w:t>
      </w:r>
    </w:p>
    <w:p w:rsidR="008A495D" w:rsidRPr="00510BA5" w:rsidRDefault="008A495D" w:rsidP="00510BA5">
      <w:pPr>
        <w:pStyle w:val="Heading1"/>
        <w:spacing w:line="360" w:lineRule="auto"/>
        <w:ind w:right="-30"/>
        <w:rPr>
          <w:rFonts w:ascii="Times New Roman" w:hAnsi="Times New Roman"/>
          <w:color w:val="auto"/>
          <w:sz w:val="24"/>
          <w:szCs w:val="24"/>
          <w:lang w:val="en-US"/>
        </w:rPr>
      </w:pPr>
      <w:r w:rsidRPr="00510BA5">
        <w:rPr>
          <w:rFonts w:ascii="Times New Roman" w:hAnsi="Times New Roman"/>
          <w:color w:val="auto"/>
          <w:sz w:val="24"/>
          <w:szCs w:val="24"/>
          <w:lang w:val="en-US"/>
        </w:rPr>
        <w:t>How to take IR hypersensitivity i</w:t>
      </w:r>
      <w:r>
        <w:rPr>
          <w:rFonts w:ascii="Times New Roman" w:hAnsi="Times New Roman"/>
          <w:color w:val="auto"/>
          <w:sz w:val="24"/>
          <w:szCs w:val="24"/>
          <w:lang w:val="en-US"/>
        </w:rPr>
        <w:t xml:space="preserve">nto account </w:t>
      </w:r>
      <w:r w:rsidRPr="00510BA5">
        <w:rPr>
          <w:rFonts w:ascii="Times New Roman" w:hAnsi="Times New Roman"/>
          <w:color w:val="auto"/>
          <w:sz w:val="24"/>
          <w:szCs w:val="24"/>
          <w:lang w:val="en-US"/>
        </w:rPr>
        <w:t xml:space="preserve"> </w:t>
      </w:r>
    </w:p>
    <w:p w:rsidR="008A495D" w:rsidRPr="00510BA5" w:rsidRDefault="008A495D" w:rsidP="00510BA5">
      <w:pPr>
        <w:spacing w:line="360" w:lineRule="auto"/>
        <w:ind w:right="-30"/>
        <w:rPr>
          <w:rFonts w:ascii="Times New Roman" w:hAnsi="Times New Roman"/>
          <w:sz w:val="24"/>
          <w:szCs w:val="24"/>
          <w:lang w:val="en-US"/>
        </w:rPr>
      </w:pPr>
    </w:p>
    <w:p w:rsidR="008A495D" w:rsidRPr="00510BA5" w:rsidRDefault="008A495D" w:rsidP="00510BA5">
      <w:pPr>
        <w:spacing w:line="360" w:lineRule="auto"/>
        <w:ind w:right="-30"/>
        <w:jc w:val="both"/>
        <w:rPr>
          <w:rFonts w:ascii="Times New Roman" w:hAnsi="Times New Roman" w:cs="Calibri"/>
          <w:sz w:val="24"/>
          <w:szCs w:val="24"/>
          <w:lang w:val="en-US"/>
        </w:rPr>
      </w:pPr>
      <w:r w:rsidRPr="00510BA5">
        <w:rPr>
          <w:rFonts w:ascii="Times New Roman" w:hAnsi="Times New Roman" w:cs="Calibri"/>
          <w:sz w:val="24"/>
          <w:szCs w:val="24"/>
          <w:lang w:val="en-US"/>
        </w:rPr>
        <w:t>The 5-year relative survival rate among children diagnosed with cancer has reached 80 % (Jemal 2008). IR-induced cancers are now more frequently recognized as radiotherapy has become common and survival after the cancer treatment has increased. Concern has been expressed about the risk of subsequent cancer after the radiotherapy (Inskip 2007). It is important to take into consideration patient’s hypersensitivity to radiation and what preventative methods are possible for patients at high risk for cancer.</w:t>
      </w:r>
    </w:p>
    <w:p w:rsidR="008A495D" w:rsidRPr="00510BA5" w:rsidRDefault="008A495D" w:rsidP="00510BA5">
      <w:pPr>
        <w:spacing w:line="360" w:lineRule="auto"/>
        <w:ind w:right="-30"/>
        <w:jc w:val="both"/>
        <w:rPr>
          <w:rFonts w:ascii="Times New Roman" w:hAnsi="Times New Roman" w:cs="Calibri"/>
          <w:sz w:val="24"/>
          <w:szCs w:val="24"/>
          <w:lang w:val="en-US"/>
        </w:rPr>
      </w:pPr>
      <w:r w:rsidRPr="00510BA5">
        <w:rPr>
          <w:rFonts w:ascii="Times New Roman" w:hAnsi="Times New Roman" w:cs="Calibri"/>
          <w:sz w:val="24"/>
          <w:szCs w:val="24"/>
          <w:lang w:val="en-US"/>
        </w:rPr>
        <w:t>The follow-up for those with Bloom’s syndrome could be cervical screening, regular oral examination by dentist and regular colonoscopy. The attenuated familial adenomatous polyposis (FAP) phenotype has been observed in some adult patients with Bloom’s syndrome (Lowy et al. 2001). Cancer is the most common cause of death in Bloom’s syndrome. In the patients with Li-Fraumeni syndrome magnetic resonance imaging for detecting breast cancer is advisable rather than routine mammography screening.</w:t>
      </w:r>
    </w:p>
    <w:p w:rsidR="008A495D" w:rsidRPr="00510BA5" w:rsidRDefault="008A495D" w:rsidP="00510BA5">
      <w:pPr>
        <w:spacing w:line="360" w:lineRule="auto"/>
        <w:ind w:right="-30"/>
        <w:jc w:val="both"/>
        <w:rPr>
          <w:rFonts w:ascii="Times New Roman" w:hAnsi="Times New Roman" w:cs="Calibri"/>
          <w:sz w:val="24"/>
          <w:szCs w:val="24"/>
          <w:lang w:val="en-US"/>
        </w:rPr>
      </w:pPr>
      <w:r w:rsidRPr="00510BA5">
        <w:rPr>
          <w:rFonts w:ascii="Times New Roman" w:hAnsi="Times New Roman" w:cs="Calibri"/>
          <w:sz w:val="24"/>
          <w:szCs w:val="24"/>
          <w:lang w:val="en-US"/>
        </w:rPr>
        <w:t xml:space="preserve">It is estimated that from 5 to 15 % of breast cancer cases are among those women who are heterozygous ATM mutation carriers (Thompson et al. 2005). Carrying heterozygous </w:t>
      </w:r>
      <w:r w:rsidRPr="00510BA5">
        <w:rPr>
          <w:rFonts w:ascii="Times New Roman" w:hAnsi="Times New Roman" w:cs="Calibri"/>
          <w:i/>
          <w:sz w:val="24"/>
          <w:szCs w:val="24"/>
          <w:lang w:val="en-US"/>
        </w:rPr>
        <w:t>ATM</w:t>
      </w:r>
      <w:r w:rsidRPr="00510BA5">
        <w:rPr>
          <w:rFonts w:ascii="Times New Roman" w:hAnsi="Times New Roman" w:cs="Calibri"/>
          <w:sz w:val="24"/>
          <w:szCs w:val="24"/>
          <w:lang w:val="en-US"/>
        </w:rPr>
        <w:t xml:space="preserve"> gene causes a moderate risk to breast cancer (Thompson et al. 200</w:t>
      </w:r>
      <w:r>
        <w:rPr>
          <w:rFonts w:ascii="Times New Roman" w:hAnsi="Times New Roman" w:cs="Calibri"/>
          <w:sz w:val="24"/>
          <w:szCs w:val="24"/>
          <w:lang w:val="en-US"/>
        </w:rPr>
        <w:t>5). T</w:t>
      </w:r>
      <w:r w:rsidRPr="00510BA5">
        <w:rPr>
          <w:rFonts w:ascii="Times New Roman" w:hAnsi="Times New Roman" w:cs="Calibri"/>
          <w:sz w:val="24"/>
          <w:szCs w:val="24"/>
          <w:lang w:val="en-US"/>
        </w:rPr>
        <w:t xml:space="preserve">his genotype </w:t>
      </w:r>
      <w:r>
        <w:rPr>
          <w:rFonts w:ascii="Times New Roman" w:hAnsi="Times New Roman" w:cs="Calibri"/>
          <w:sz w:val="24"/>
          <w:szCs w:val="24"/>
          <w:lang w:val="en-US"/>
        </w:rPr>
        <w:t>may additionally increase</w:t>
      </w:r>
      <w:r w:rsidRPr="00510BA5">
        <w:rPr>
          <w:rFonts w:ascii="Times New Roman" w:hAnsi="Times New Roman" w:cs="Calibri"/>
          <w:sz w:val="24"/>
          <w:szCs w:val="24"/>
          <w:lang w:val="en-US"/>
        </w:rPr>
        <w:t xml:space="preserve"> risk for other cancers, such as ovarian, gastric and colorectal cancer, and</w:t>
      </w:r>
      <w:r>
        <w:rPr>
          <w:rFonts w:ascii="Times New Roman" w:hAnsi="Times New Roman" w:cs="Calibri"/>
          <w:sz w:val="24"/>
          <w:szCs w:val="24"/>
          <w:lang w:val="en-US"/>
        </w:rPr>
        <w:t xml:space="preserve"> therefore</w:t>
      </w:r>
      <w:r w:rsidRPr="00510BA5">
        <w:rPr>
          <w:rFonts w:ascii="Times New Roman" w:hAnsi="Times New Roman" w:cs="Calibri"/>
          <w:sz w:val="24"/>
          <w:szCs w:val="24"/>
          <w:lang w:val="en-US"/>
        </w:rPr>
        <w:t xml:space="preserve"> more res</w:t>
      </w:r>
      <w:r>
        <w:rPr>
          <w:rFonts w:ascii="Times New Roman" w:hAnsi="Times New Roman" w:cs="Calibri"/>
          <w:sz w:val="24"/>
          <w:szCs w:val="24"/>
          <w:lang w:val="en-US"/>
        </w:rPr>
        <w:t>earch is needed</w:t>
      </w:r>
      <w:r w:rsidRPr="00510BA5">
        <w:rPr>
          <w:rFonts w:ascii="Times New Roman" w:hAnsi="Times New Roman" w:cs="Calibri"/>
          <w:sz w:val="24"/>
          <w:szCs w:val="24"/>
          <w:lang w:val="en-US"/>
        </w:rPr>
        <w:t xml:space="preserve"> (Thorstenson et al. 2003, Thompson et al. 2005). It is not clear whether mammographic screening is beneficial in </w:t>
      </w:r>
      <w:r w:rsidRPr="00510BA5">
        <w:rPr>
          <w:rFonts w:ascii="Times New Roman" w:hAnsi="Times New Roman" w:cs="Calibri"/>
          <w:i/>
          <w:sz w:val="24"/>
          <w:szCs w:val="24"/>
          <w:lang w:val="en-US"/>
        </w:rPr>
        <w:t>ATM</w:t>
      </w:r>
      <w:r w:rsidRPr="00510BA5">
        <w:rPr>
          <w:rFonts w:ascii="Times New Roman" w:hAnsi="Times New Roman" w:cs="Calibri"/>
          <w:sz w:val="24"/>
          <w:szCs w:val="24"/>
          <w:lang w:val="en-US"/>
        </w:rPr>
        <w:t xml:space="preserve"> mutation carriers as radiation causes DNA damage (Li et al. 2010). Magnetic resonance imaging is a sensitive screening tool for women at high risk of breast cancer, such as </w:t>
      </w:r>
      <w:r w:rsidRPr="00510BA5">
        <w:rPr>
          <w:rFonts w:ascii="Times New Roman" w:hAnsi="Times New Roman" w:cs="Calibri"/>
          <w:i/>
          <w:sz w:val="24"/>
          <w:szCs w:val="24"/>
          <w:lang w:val="en-US"/>
        </w:rPr>
        <w:t>BRCA1</w:t>
      </w:r>
      <w:r w:rsidRPr="00510BA5">
        <w:rPr>
          <w:rFonts w:ascii="Times New Roman" w:hAnsi="Times New Roman" w:cs="Calibri"/>
          <w:sz w:val="24"/>
          <w:szCs w:val="24"/>
          <w:lang w:val="en-US"/>
        </w:rPr>
        <w:t xml:space="preserve"> and </w:t>
      </w:r>
      <w:r w:rsidRPr="00510BA5">
        <w:rPr>
          <w:rFonts w:ascii="Times New Roman" w:hAnsi="Times New Roman" w:cs="Calibri"/>
          <w:i/>
          <w:sz w:val="24"/>
          <w:szCs w:val="24"/>
          <w:lang w:val="en-US"/>
        </w:rPr>
        <w:t>BRCA2</w:t>
      </w:r>
      <w:r w:rsidRPr="00510BA5">
        <w:rPr>
          <w:rFonts w:ascii="Times New Roman" w:hAnsi="Times New Roman" w:cs="Calibri"/>
          <w:sz w:val="24"/>
          <w:szCs w:val="24"/>
          <w:lang w:val="en-US"/>
        </w:rPr>
        <w:t xml:space="preserve"> carriers, and it may be used in the follow-up for </w:t>
      </w:r>
      <w:r w:rsidRPr="00510BA5">
        <w:rPr>
          <w:rFonts w:ascii="Times New Roman" w:hAnsi="Times New Roman" w:cs="Calibri"/>
          <w:i/>
          <w:sz w:val="24"/>
          <w:szCs w:val="24"/>
          <w:lang w:val="en-US"/>
        </w:rPr>
        <w:t>ATM</w:t>
      </w:r>
      <w:r w:rsidRPr="00510BA5">
        <w:rPr>
          <w:rFonts w:ascii="Times New Roman" w:hAnsi="Times New Roman" w:cs="Calibri"/>
          <w:sz w:val="24"/>
          <w:szCs w:val="24"/>
          <w:lang w:val="en-US"/>
        </w:rPr>
        <w:t xml:space="preserve"> mutation carriers (Kriege et al. 2004). Heterozygous </w:t>
      </w:r>
      <w:r w:rsidRPr="00510BA5">
        <w:rPr>
          <w:rFonts w:ascii="Times New Roman" w:hAnsi="Times New Roman" w:cs="Calibri"/>
          <w:i/>
          <w:sz w:val="24"/>
          <w:szCs w:val="24"/>
          <w:lang w:val="en-US"/>
        </w:rPr>
        <w:t>BLM</w:t>
      </w:r>
      <w:r w:rsidRPr="00510BA5">
        <w:rPr>
          <w:rFonts w:ascii="Times New Roman" w:hAnsi="Times New Roman" w:cs="Calibri"/>
          <w:sz w:val="24"/>
          <w:szCs w:val="24"/>
          <w:lang w:val="en-US"/>
        </w:rPr>
        <w:t xml:space="preserve"> mutation carriers with certain mutations </w:t>
      </w:r>
      <w:r>
        <w:rPr>
          <w:rFonts w:ascii="Times New Roman" w:hAnsi="Times New Roman" w:cs="Calibri"/>
          <w:sz w:val="24"/>
          <w:szCs w:val="24"/>
          <w:lang w:val="en-US"/>
        </w:rPr>
        <w:t>occurring among</w:t>
      </w:r>
      <w:r w:rsidRPr="00510BA5">
        <w:rPr>
          <w:rFonts w:ascii="Times New Roman" w:hAnsi="Times New Roman" w:cs="Calibri"/>
          <w:sz w:val="24"/>
          <w:szCs w:val="24"/>
          <w:lang w:val="en-US"/>
        </w:rPr>
        <w:t xml:space="preserve"> Ashkenazi Jewish and Japanese population </w:t>
      </w:r>
      <w:r>
        <w:rPr>
          <w:rFonts w:ascii="Times New Roman" w:hAnsi="Times New Roman" w:cs="Calibri"/>
          <w:sz w:val="24"/>
          <w:szCs w:val="24"/>
          <w:lang w:val="en-US"/>
        </w:rPr>
        <w:t>seem to increase the</w:t>
      </w:r>
      <w:r w:rsidRPr="00510BA5">
        <w:rPr>
          <w:rFonts w:ascii="Times New Roman" w:hAnsi="Times New Roman" w:cs="Calibri"/>
          <w:sz w:val="24"/>
          <w:szCs w:val="24"/>
          <w:lang w:val="en-US"/>
        </w:rPr>
        <w:t xml:space="preserve"> risk for colorectal cancer, but more studies a</w:t>
      </w:r>
      <w:r>
        <w:rPr>
          <w:rFonts w:ascii="Times New Roman" w:hAnsi="Times New Roman" w:cs="Calibri"/>
          <w:sz w:val="24"/>
          <w:szCs w:val="24"/>
          <w:lang w:val="en-US"/>
        </w:rPr>
        <w:t xml:space="preserve">re needed to determine the magnitude and significance of that </w:t>
      </w:r>
      <w:r w:rsidRPr="00510BA5">
        <w:rPr>
          <w:rFonts w:ascii="Times New Roman" w:hAnsi="Times New Roman" w:cs="Calibri"/>
          <w:sz w:val="24"/>
          <w:szCs w:val="24"/>
          <w:lang w:val="en-US"/>
        </w:rPr>
        <w:t xml:space="preserve">risk. </w:t>
      </w:r>
    </w:p>
    <w:p w:rsidR="008A495D" w:rsidRPr="00510BA5" w:rsidRDefault="008A495D" w:rsidP="00510BA5">
      <w:pPr>
        <w:spacing w:line="360" w:lineRule="auto"/>
        <w:ind w:right="-30"/>
        <w:jc w:val="both"/>
        <w:rPr>
          <w:rFonts w:ascii="Times New Roman" w:hAnsi="Times New Roman" w:cs="Calibri"/>
          <w:sz w:val="24"/>
          <w:szCs w:val="24"/>
          <w:lang w:val="en-US"/>
        </w:rPr>
      </w:pPr>
      <w:r w:rsidRPr="00510BA5">
        <w:rPr>
          <w:rStyle w:val="Heading1Char"/>
          <w:rFonts w:ascii="Times New Roman" w:hAnsi="Times New Roman"/>
          <w:color w:val="auto"/>
          <w:sz w:val="24"/>
          <w:szCs w:val="24"/>
          <w:lang w:val="en-US"/>
        </w:rPr>
        <w:t xml:space="preserve">More studies are needed </w:t>
      </w:r>
      <w:r>
        <w:rPr>
          <w:rStyle w:val="Heading1Char"/>
          <w:rFonts w:ascii="Times New Roman" w:hAnsi="Times New Roman"/>
          <w:color w:val="auto"/>
          <w:sz w:val="24"/>
          <w:szCs w:val="24"/>
          <w:lang w:val="en-US"/>
        </w:rPr>
        <w:t xml:space="preserve">on </w:t>
      </w:r>
      <w:r w:rsidRPr="00510BA5">
        <w:rPr>
          <w:rStyle w:val="Heading1Char"/>
          <w:rFonts w:ascii="Times New Roman" w:hAnsi="Times New Roman"/>
          <w:color w:val="auto"/>
          <w:sz w:val="24"/>
          <w:szCs w:val="24"/>
          <w:lang w:val="en-US"/>
        </w:rPr>
        <w:t>relation of IR hypersensitivity and cancer</w:t>
      </w:r>
      <w:r>
        <w:rPr>
          <w:rStyle w:val="Heading1Char"/>
          <w:rFonts w:ascii="Times New Roman" w:hAnsi="Times New Roman"/>
          <w:color w:val="auto"/>
          <w:sz w:val="24"/>
          <w:szCs w:val="24"/>
          <w:lang w:val="en-US"/>
        </w:rPr>
        <w:t xml:space="preserve"> development</w:t>
      </w:r>
    </w:p>
    <w:p w:rsidR="008A495D" w:rsidRPr="00510BA5" w:rsidRDefault="008A495D" w:rsidP="00510BA5">
      <w:pPr>
        <w:spacing w:before="100" w:beforeAutospacing="1" w:after="100" w:afterAutospacing="1" w:line="360" w:lineRule="auto"/>
        <w:ind w:right="-30"/>
        <w:jc w:val="both"/>
        <w:rPr>
          <w:rFonts w:ascii="Times New Roman" w:hAnsi="Times New Roman" w:cs="Calibri"/>
          <w:sz w:val="24"/>
          <w:szCs w:val="24"/>
          <w:lang w:val="en-US" w:eastAsia="fi-FI"/>
        </w:rPr>
      </w:pPr>
      <w:r w:rsidRPr="00510BA5">
        <w:rPr>
          <w:rFonts w:ascii="Times New Roman" w:hAnsi="Times New Roman" w:cs="Calibri"/>
          <w:sz w:val="24"/>
          <w:szCs w:val="24"/>
          <w:lang w:val="en-US" w:eastAsia="fi-FI"/>
        </w:rPr>
        <w:t>Some studies have investigated whether the fibroblast cells of xeroderma pigmentosum or Cockayne syndrome are sensitive for irradiation (Arlett et al. 2008). There is no convincing evidence that the patients with xeroderma pigmentosum would have hypersensitivity to ionizing radiation. Xeroderma pigmentosum is an autosomal recessive disorder with characterized hypersensitivity to UV light, pigmentation abnormalities in sun-exposed areas of the skin and very highly increased risk of UV-induced skin cancers because of the damage in nucleotide excision repair pathway. Cockayne syndrome cells seem to be sensitive to oxidizing agents, including ionizing radiation, and the exact mechanism of radiation induced DNA is the topic area in the research (Waards et al. 2004, Cramers et al. 2011).</w:t>
      </w:r>
    </w:p>
    <w:p w:rsidR="008A495D" w:rsidRPr="00510BA5" w:rsidRDefault="008A495D" w:rsidP="00510BA5">
      <w:pPr>
        <w:spacing w:line="360" w:lineRule="auto"/>
        <w:ind w:right="-30"/>
        <w:jc w:val="both"/>
        <w:rPr>
          <w:rFonts w:ascii="Times New Roman" w:hAnsi="Times New Roman" w:cs="Calibri"/>
          <w:sz w:val="24"/>
          <w:szCs w:val="24"/>
          <w:lang w:val="en-US"/>
        </w:rPr>
      </w:pPr>
      <w:r w:rsidRPr="00510BA5">
        <w:rPr>
          <w:rFonts w:ascii="Times New Roman" w:hAnsi="Times New Roman" w:cs="Calibri"/>
          <w:sz w:val="24"/>
          <w:szCs w:val="24"/>
          <w:lang w:val="en-US"/>
        </w:rPr>
        <w:t>RAPADILINO syndrome is an autosomal recessive disorder characterized by short stature, radial ray defects and other malformations, as well as infantile diarrhea, but not by a significant cancer risk. Four different mutations in the RECQL4 gene were found in the Finnish patients (Siitonen et al 2003). The tissue expression of Recql4 in mouse well agrees with the tissue symptoms of RAPADILINO. Also, Rothmund-Thomson syndrome is due to mutation in RECQL4 gene. Rothmund-Thomson syndrome patients are hypersensitive to IR, but it is not yet known whether RAPADILINO patients are hypersensitive to IR.</w:t>
      </w:r>
    </w:p>
    <w:p w:rsidR="008A495D" w:rsidRPr="00510BA5" w:rsidRDefault="008A495D" w:rsidP="00510BA5">
      <w:pPr>
        <w:tabs>
          <w:tab w:val="left" w:pos="5385"/>
        </w:tabs>
        <w:spacing w:line="360" w:lineRule="auto"/>
        <w:ind w:right="-30"/>
        <w:jc w:val="both"/>
        <w:rPr>
          <w:rFonts w:ascii="Times New Roman" w:hAnsi="Times New Roman" w:cs="Calibri"/>
          <w:sz w:val="24"/>
          <w:szCs w:val="24"/>
          <w:lang w:val="en-US"/>
        </w:rPr>
      </w:pPr>
      <w:r w:rsidRPr="00510BA5">
        <w:rPr>
          <w:rFonts w:ascii="Times New Roman" w:hAnsi="Times New Roman" w:cs="Calibri"/>
          <w:sz w:val="24"/>
          <w:szCs w:val="24"/>
          <w:lang w:val="en-US"/>
        </w:rPr>
        <w:t>In countries of the European Union efforts are ongoing to improve the diagnostic of and treatment of rare diseases. A significant number of patients have a rare cancer predisposition or hypersensitivity to IR due to congenital genetic changes. Studies among the patients with inherited genetic predisposition syndrome can provide insights into the interaction between IR and changes leading to malignancies. Applying genomics is gaining increasing importance in cancer care (Kriege et al 2004</w:t>
      </w:r>
      <w:r>
        <w:rPr>
          <w:rFonts w:ascii="Times New Roman" w:hAnsi="Times New Roman" w:cs="Calibri"/>
          <w:sz w:val="24"/>
          <w:szCs w:val="24"/>
          <w:lang w:val="en-US"/>
        </w:rPr>
        <w:t>, Feero and Guttmacher 2010</w:t>
      </w:r>
      <w:r w:rsidRPr="00510BA5">
        <w:rPr>
          <w:rFonts w:ascii="Times New Roman" w:hAnsi="Times New Roman" w:cs="Calibri"/>
          <w:sz w:val="24"/>
          <w:szCs w:val="24"/>
          <w:lang w:val="en-US"/>
        </w:rPr>
        <w:t xml:space="preserve">). </w:t>
      </w:r>
      <w:r>
        <w:rPr>
          <w:rFonts w:ascii="Times New Roman" w:hAnsi="Times New Roman" w:cs="Calibri"/>
          <w:sz w:val="24"/>
          <w:szCs w:val="24"/>
          <w:lang w:val="en-US"/>
        </w:rPr>
        <w:t xml:space="preserve">Understanding how multiple variants interact with each other and with radiation an dphenotypic risk modifiers should be considered when developing risk prediction models to inform intervention strategies (Travis, LB et al 2012). </w:t>
      </w:r>
      <w:r w:rsidRPr="00510BA5">
        <w:rPr>
          <w:rFonts w:ascii="Times New Roman" w:hAnsi="Times New Roman" w:cs="Calibri"/>
          <w:sz w:val="24"/>
          <w:szCs w:val="24"/>
          <w:lang w:val="en-US"/>
        </w:rPr>
        <w:t>Better understanding of the exact cellular mechanism and genetic and epigenetic changes will also help other patients especially those w</w:t>
      </w:r>
      <w:r>
        <w:rPr>
          <w:rFonts w:ascii="Times New Roman" w:hAnsi="Times New Roman" w:cs="Calibri"/>
          <w:sz w:val="24"/>
          <w:szCs w:val="24"/>
          <w:lang w:val="en-US"/>
        </w:rPr>
        <w:t>ho are exposed to high doses in</w:t>
      </w:r>
      <w:r w:rsidRPr="00510BA5">
        <w:rPr>
          <w:rFonts w:ascii="Times New Roman" w:hAnsi="Times New Roman" w:cs="Calibri"/>
          <w:sz w:val="24"/>
          <w:szCs w:val="24"/>
          <w:lang w:val="en-US"/>
        </w:rPr>
        <w:t xml:space="preserve"> interventional or diagnostic radiology or treated with radiotherapy.</w:t>
      </w:r>
      <w:r w:rsidRPr="00510BA5">
        <w:rPr>
          <w:rFonts w:ascii="Times New Roman" w:hAnsi="Times New Roman"/>
          <w:sz w:val="24"/>
          <w:lang w:val="en-US"/>
        </w:rPr>
        <w:t xml:space="preserve"> More research is needed about the hypersensitivity of those who are carriers of a disease gene linked with specific syndromes. In future, gene expression profiles may have a role in designing protocols for diagnostic imaging and treatment programmes taking into account individual genetically based radiation sensitivity.</w:t>
      </w:r>
    </w:p>
    <w:p w:rsidR="008A495D" w:rsidRPr="002E792C" w:rsidRDefault="008A495D" w:rsidP="00510BA5">
      <w:pPr>
        <w:spacing w:line="360" w:lineRule="auto"/>
        <w:ind w:right="-30"/>
        <w:rPr>
          <w:rFonts w:ascii="Times New Roman" w:hAnsi="Times New Roman"/>
          <w:b/>
          <w:sz w:val="24"/>
          <w:szCs w:val="24"/>
          <w:lang w:val="en-US"/>
        </w:rPr>
      </w:pPr>
      <w:r w:rsidRPr="00510BA5">
        <w:rPr>
          <w:rFonts w:ascii="Times New Roman" w:hAnsi="Times New Roman"/>
          <w:sz w:val="24"/>
          <w:szCs w:val="24"/>
          <w:lang w:val="en-US"/>
        </w:rPr>
        <w:br w:type="page"/>
      </w:r>
      <w:r w:rsidRPr="002E792C">
        <w:rPr>
          <w:rFonts w:ascii="Times New Roman" w:hAnsi="Times New Roman"/>
          <w:b/>
          <w:sz w:val="24"/>
          <w:szCs w:val="24"/>
          <w:lang w:val="en-US"/>
        </w:rPr>
        <w:t>References</w:t>
      </w:r>
    </w:p>
    <w:p w:rsidR="008A495D" w:rsidRPr="00510BA5" w:rsidRDefault="008A495D" w:rsidP="00510BA5">
      <w:pPr>
        <w:spacing w:line="360" w:lineRule="auto"/>
        <w:ind w:right="-1"/>
        <w:rPr>
          <w:rFonts w:ascii="Times New Roman" w:hAnsi="Times New Roman" w:cs="Calibri"/>
          <w:sz w:val="24"/>
          <w:szCs w:val="24"/>
          <w:lang w:val="en-US"/>
        </w:rPr>
      </w:pPr>
      <w:r w:rsidRPr="00510BA5">
        <w:rPr>
          <w:rFonts w:ascii="Times New Roman" w:hAnsi="Times New Roman" w:cs="Calibri"/>
          <w:sz w:val="24"/>
          <w:szCs w:val="24"/>
          <w:lang w:val="en-US"/>
        </w:rPr>
        <w:t>Arlett CF, Green MH, Rogers PB, Lehmann AR, Plowman PN. Minimal ionizing radiation sensitivity in a large cohort of xeroderma pigmentosum fibroblasts. Br J Radiol. 2008 Jan;81(961):51-8. Bekiesińska-Figatowska M, Chrzanowska KH, Jurkiewicz E, Wakulińska A, Rysiewskis H, Gładkowska-Dura M, Walecki J. Magnetic resonance imaging of brain abnormalities in patients with the Nijmegen breakage syndrome. Acta Neurobiol Exp (Wars). 2004;64(4):503-9.</w:t>
      </w:r>
    </w:p>
    <w:p w:rsidR="008A495D" w:rsidRDefault="008A495D" w:rsidP="00510BA5">
      <w:pPr>
        <w:spacing w:line="360" w:lineRule="auto"/>
        <w:ind w:right="-1"/>
        <w:rPr>
          <w:rFonts w:ascii="Times New Roman" w:hAnsi="Times New Roman" w:cs="Calibri"/>
          <w:sz w:val="24"/>
          <w:szCs w:val="24"/>
          <w:lang w:val="en-US"/>
        </w:rPr>
      </w:pPr>
      <w:r w:rsidRPr="00510BA5">
        <w:rPr>
          <w:rFonts w:ascii="Times New Roman" w:hAnsi="Times New Roman" w:cs="Calibri"/>
          <w:sz w:val="24"/>
          <w:szCs w:val="24"/>
          <w:lang w:val="en-US"/>
        </w:rPr>
        <w:t>Clarke RH, Southwood TR. Risks from ionizing radiation. Natur</w:t>
      </w:r>
      <w:r>
        <w:rPr>
          <w:rFonts w:ascii="Times New Roman" w:hAnsi="Times New Roman" w:cs="Calibri"/>
          <w:sz w:val="24"/>
          <w:szCs w:val="24"/>
          <w:lang w:val="en-US"/>
        </w:rPr>
        <w:t>e. 1989 Mar 16;338(6212):197-8.</w:t>
      </w:r>
    </w:p>
    <w:p w:rsidR="008A495D" w:rsidRPr="00510BA5" w:rsidRDefault="008A495D" w:rsidP="00510BA5">
      <w:pPr>
        <w:spacing w:line="360" w:lineRule="auto"/>
        <w:ind w:right="-1"/>
        <w:rPr>
          <w:rFonts w:ascii="Times New Roman" w:hAnsi="Times New Roman" w:cs="Calibri"/>
          <w:sz w:val="24"/>
          <w:szCs w:val="24"/>
          <w:lang w:val="en-US"/>
        </w:rPr>
      </w:pPr>
      <w:r w:rsidRPr="00510BA5">
        <w:rPr>
          <w:rFonts w:ascii="Times New Roman" w:hAnsi="Times New Roman" w:cs="Calibri"/>
          <w:sz w:val="24"/>
          <w:szCs w:val="24"/>
          <w:lang w:val="en-US"/>
        </w:rPr>
        <w:t>Cramers P, Verhoeven EE, Filon AR, Rockx DA, Santos SJ, van der Leer AA, Kleinjans JC, van Zeeland AA, Mullenders LH. Impaired Repair of Ionizing Radiation-Induced DNA Damage in Cockayne Syndrome Cells. Radiat Res</w:t>
      </w:r>
      <w:r>
        <w:rPr>
          <w:rFonts w:ascii="Times New Roman" w:hAnsi="Times New Roman" w:cs="Calibri"/>
          <w:sz w:val="24"/>
          <w:szCs w:val="24"/>
          <w:lang w:val="en-US"/>
        </w:rPr>
        <w:t>. 2011 Feb Epub ahead of print]</w:t>
      </w:r>
    </w:p>
    <w:p w:rsidR="008A495D" w:rsidRDefault="008A495D" w:rsidP="00EE476F">
      <w:pPr>
        <w:spacing w:line="360" w:lineRule="auto"/>
        <w:ind w:right="-1"/>
        <w:rPr>
          <w:rFonts w:ascii="Times New Roman" w:hAnsi="Times New Roman" w:cs="Calibri"/>
          <w:sz w:val="24"/>
          <w:szCs w:val="24"/>
          <w:lang w:val="en-US"/>
        </w:rPr>
      </w:pPr>
      <w:r w:rsidRPr="00510BA5">
        <w:rPr>
          <w:rFonts w:ascii="Times New Roman" w:hAnsi="Times New Roman" w:cs="Calibri"/>
          <w:sz w:val="24"/>
          <w:szCs w:val="24"/>
          <w:lang w:val="en-US"/>
        </w:rPr>
        <w:t>de Waard H, de Wit J, Andressoo JO, van Oostrom CT, Riis B, Weimann A, Poulsen HE, van Steeg H, Hoeijmakers JH, van der Horst GT. Different effects of CSA and CSB deficiency on sensitivity to oxidative DNA damage. Mol Cel</w:t>
      </w:r>
      <w:r>
        <w:rPr>
          <w:rFonts w:ascii="Times New Roman" w:hAnsi="Times New Roman" w:cs="Calibri"/>
          <w:sz w:val="24"/>
          <w:szCs w:val="24"/>
          <w:lang w:val="en-US"/>
        </w:rPr>
        <w:t>l Biol. 2004 Sep;24(18):7941-8.</w:t>
      </w:r>
    </w:p>
    <w:p w:rsidR="008A495D" w:rsidRPr="00510BA5" w:rsidRDefault="008A495D" w:rsidP="00510BA5">
      <w:pPr>
        <w:spacing w:line="360" w:lineRule="auto"/>
        <w:ind w:right="-1"/>
        <w:rPr>
          <w:rFonts w:ascii="Times New Roman" w:hAnsi="Times New Roman" w:cs="Calibri"/>
          <w:sz w:val="24"/>
          <w:szCs w:val="24"/>
          <w:lang w:val="en-US"/>
        </w:rPr>
      </w:pPr>
      <w:r w:rsidRPr="00EE476F">
        <w:rPr>
          <w:rFonts w:ascii="Times New Roman" w:hAnsi="Times New Roman" w:cs="Calibri"/>
          <w:sz w:val="24"/>
          <w:szCs w:val="24"/>
          <w:lang w:val="en-US"/>
        </w:rPr>
        <w:t xml:space="preserve"> </w:t>
      </w:r>
      <w:r w:rsidRPr="00510BA5">
        <w:rPr>
          <w:rFonts w:ascii="Times New Roman" w:hAnsi="Times New Roman" w:cs="Calibri"/>
          <w:sz w:val="24"/>
          <w:szCs w:val="24"/>
          <w:lang w:val="en-US"/>
        </w:rPr>
        <w:t>Feero</w:t>
      </w:r>
      <w:r>
        <w:rPr>
          <w:rFonts w:ascii="Times New Roman" w:hAnsi="Times New Roman" w:cs="Calibri"/>
          <w:sz w:val="24"/>
          <w:szCs w:val="24"/>
          <w:lang w:val="en-US"/>
        </w:rPr>
        <w:t xml:space="preserve">, G.W., Guttmacher, AE. Genomic medicine-an updated primer. </w:t>
      </w:r>
      <w:r w:rsidRPr="00510BA5">
        <w:rPr>
          <w:rFonts w:ascii="Times New Roman" w:hAnsi="Times New Roman" w:cs="Calibri"/>
          <w:sz w:val="24"/>
          <w:szCs w:val="24"/>
          <w:lang w:val="en-US"/>
        </w:rPr>
        <w:t xml:space="preserve"> N</w:t>
      </w:r>
      <w:r>
        <w:rPr>
          <w:rFonts w:ascii="Times New Roman" w:hAnsi="Times New Roman" w:cs="Calibri"/>
          <w:sz w:val="24"/>
          <w:szCs w:val="24"/>
          <w:lang w:val="en-US"/>
        </w:rPr>
        <w:t xml:space="preserve"> </w:t>
      </w:r>
      <w:r w:rsidRPr="00510BA5">
        <w:rPr>
          <w:rFonts w:ascii="Times New Roman" w:hAnsi="Times New Roman" w:cs="Calibri"/>
          <w:sz w:val="24"/>
          <w:szCs w:val="24"/>
          <w:lang w:val="en-US"/>
        </w:rPr>
        <w:t>E</w:t>
      </w:r>
      <w:r>
        <w:rPr>
          <w:rFonts w:ascii="Times New Roman" w:hAnsi="Times New Roman" w:cs="Calibri"/>
          <w:sz w:val="24"/>
          <w:szCs w:val="24"/>
          <w:lang w:val="en-US"/>
        </w:rPr>
        <w:t xml:space="preserve">ngl </w:t>
      </w:r>
      <w:r w:rsidRPr="00510BA5">
        <w:rPr>
          <w:rFonts w:ascii="Times New Roman" w:hAnsi="Times New Roman" w:cs="Calibri"/>
          <w:sz w:val="24"/>
          <w:szCs w:val="24"/>
          <w:lang w:val="en-US"/>
        </w:rPr>
        <w:t>J</w:t>
      </w:r>
      <w:r>
        <w:rPr>
          <w:rFonts w:ascii="Times New Roman" w:hAnsi="Times New Roman" w:cs="Calibri"/>
          <w:sz w:val="24"/>
          <w:szCs w:val="24"/>
          <w:lang w:val="en-US"/>
        </w:rPr>
        <w:t xml:space="preserve"> </w:t>
      </w:r>
      <w:r w:rsidRPr="00510BA5">
        <w:rPr>
          <w:rFonts w:ascii="Times New Roman" w:hAnsi="Times New Roman" w:cs="Calibri"/>
          <w:sz w:val="24"/>
          <w:szCs w:val="24"/>
          <w:lang w:val="en-US"/>
        </w:rPr>
        <w:t>M</w:t>
      </w:r>
      <w:r>
        <w:rPr>
          <w:rFonts w:ascii="Times New Roman" w:hAnsi="Times New Roman" w:cs="Calibri"/>
          <w:sz w:val="24"/>
          <w:szCs w:val="24"/>
          <w:lang w:val="en-US"/>
        </w:rPr>
        <w:t>ed 2010; 362:2001-11.</w:t>
      </w:r>
      <w:r w:rsidRPr="00510BA5">
        <w:rPr>
          <w:rFonts w:ascii="Times New Roman" w:hAnsi="Times New Roman" w:cs="Calibri"/>
          <w:sz w:val="24"/>
          <w:szCs w:val="24"/>
          <w:lang w:val="en-US"/>
        </w:rPr>
        <w:t xml:space="preserve"> </w:t>
      </w:r>
    </w:p>
    <w:p w:rsidR="008A495D" w:rsidRPr="00510BA5" w:rsidRDefault="008A495D" w:rsidP="00510BA5">
      <w:pPr>
        <w:spacing w:line="360" w:lineRule="auto"/>
        <w:ind w:right="-1"/>
        <w:rPr>
          <w:rFonts w:ascii="Times New Roman" w:hAnsi="Times New Roman" w:cs="Calibri"/>
          <w:sz w:val="24"/>
          <w:szCs w:val="24"/>
          <w:lang w:val="en-US"/>
        </w:rPr>
      </w:pPr>
      <w:r w:rsidRPr="00510BA5">
        <w:rPr>
          <w:rFonts w:ascii="Times New Roman" w:hAnsi="Times New Roman" w:cs="Calibri"/>
          <w:sz w:val="24"/>
          <w:szCs w:val="24"/>
          <w:lang w:val="en-US"/>
        </w:rPr>
        <w:t>Inskip, PD, Curtis, RE. New malignancies following childhood cancer in the United States 1973-2002. Int J Cancer 2007; 121: 1655-61.</w:t>
      </w:r>
    </w:p>
    <w:p w:rsidR="008A495D" w:rsidRDefault="008A495D" w:rsidP="00510BA5">
      <w:pPr>
        <w:spacing w:line="360" w:lineRule="auto"/>
        <w:ind w:right="-1"/>
        <w:rPr>
          <w:rFonts w:ascii="Times New Roman" w:hAnsi="Times New Roman" w:cs="Calibri"/>
          <w:sz w:val="24"/>
          <w:szCs w:val="24"/>
          <w:lang w:val="en-US"/>
        </w:rPr>
      </w:pPr>
      <w:r w:rsidRPr="00510BA5">
        <w:rPr>
          <w:rFonts w:ascii="Times New Roman" w:hAnsi="Times New Roman" w:cs="Calibri"/>
          <w:sz w:val="24"/>
          <w:szCs w:val="24"/>
          <w:lang w:val="en-US"/>
        </w:rPr>
        <w:t>Kleinermann, RA. Radiation sensitive genetically susceptible paediatric subpopulations. Paediatric Radiol 2009; suppl 1, s27-31.</w:t>
      </w:r>
    </w:p>
    <w:p w:rsidR="008A495D" w:rsidRPr="00510BA5" w:rsidRDefault="008A495D" w:rsidP="00510BA5">
      <w:pPr>
        <w:spacing w:line="360" w:lineRule="auto"/>
        <w:ind w:right="-1"/>
        <w:rPr>
          <w:rFonts w:ascii="Times New Roman" w:hAnsi="Times New Roman" w:cs="Calibri"/>
          <w:sz w:val="24"/>
          <w:szCs w:val="24"/>
          <w:lang w:val="en-US"/>
        </w:rPr>
      </w:pPr>
      <w:r>
        <w:rPr>
          <w:rFonts w:ascii="Times New Roman" w:hAnsi="Times New Roman" w:cs="Calibri"/>
          <w:sz w:val="24"/>
          <w:szCs w:val="24"/>
          <w:lang w:val="en-US"/>
        </w:rPr>
        <w:t>Knudson, AG Jr.Overview:genes that predispose to cancer. Mutat Res 1991;274 (2):185-90.</w:t>
      </w:r>
    </w:p>
    <w:p w:rsidR="008A495D" w:rsidRPr="00510BA5" w:rsidRDefault="008A495D" w:rsidP="00510BA5">
      <w:pPr>
        <w:spacing w:line="360" w:lineRule="auto"/>
        <w:ind w:right="-1"/>
        <w:rPr>
          <w:rFonts w:ascii="Times New Roman" w:hAnsi="Times New Roman" w:cs="Calibri"/>
          <w:sz w:val="24"/>
          <w:szCs w:val="24"/>
          <w:lang w:val="en-US"/>
        </w:rPr>
      </w:pPr>
      <w:r w:rsidRPr="00510BA5">
        <w:rPr>
          <w:rFonts w:ascii="Times New Roman" w:hAnsi="Times New Roman" w:cs="Calibri"/>
          <w:sz w:val="24"/>
          <w:szCs w:val="24"/>
          <w:lang w:val="en-US"/>
        </w:rPr>
        <w:t>Kriege M, Brekelmans CT, Boetes C, Besnard PE, Zonderland HM, Obdeijn IM, et al. Efficacy of MRI and mammography for breast-cancer screening in women with a familial or genetic predisposition. N Engl J Med 2004 ; 351 : 427 – 37.</w:t>
      </w:r>
    </w:p>
    <w:p w:rsidR="008A495D" w:rsidRDefault="008A495D" w:rsidP="00510BA5">
      <w:pPr>
        <w:spacing w:line="360" w:lineRule="auto"/>
        <w:ind w:right="-1"/>
        <w:rPr>
          <w:rFonts w:ascii="Times New Roman" w:hAnsi="Times New Roman" w:cs="Calibri"/>
          <w:sz w:val="24"/>
          <w:szCs w:val="24"/>
          <w:lang w:val="en-US"/>
        </w:rPr>
      </w:pPr>
      <w:r>
        <w:rPr>
          <w:rFonts w:ascii="Times New Roman" w:hAnsi="Times New Roman" w:cs="Calibri"/>
          <w:sz w:val="24"/>
          <w:szCs w:val="24"/>
          <w:lang w:val="en-US"/>
        </w:rPr>
        <w:t>Levanat, S., Gorlin, RJ, Fallet, S et al. A two-hit model for developmental defects in Gorlin syndrome. Nat Genet 1996; 12 (1) 85-7.</w:t>
      </w:r>
    </w:p>
    <w:p w:rsidR="008A495D" w:rsidRPr="00510BA5" w:rsidRDefault="008A495D" w:rsidP="00510BA5">
      <w:pPr>
        <w:spacing w:line="360" w:lineRule="auto"/>
        <w:ind w:right="-1"/>
        <w:rPr>
          <w:rFonts w:ascii="Times New Roman" w:hAnsi="Times New Roman" w:cs="Calibri"/>
          <w:sz w:val="24"/>
          <w:szCs w:val="24"/>
          <w:lang w:val="en-US"/>
        </w:rPr>
      </w:pPr>
    </w:p>
    <w:p w:rsidR="008A495D" w:rsidRPr="00510BA5" w:rsidRDefault="008A495D" w:rsidP="00510BA5">
      <w:pPr>
        <w:spacing w:line="360" w:lineRule="auto"/>
        <w:ind w:right="-1"/>
        <w:rPr>
          <w:rFonts w:ascii="Times New Roman" w:hAnsi="Times New Roman" w:cs="Calibri"/>
          <w:sz w:val="24"/>
          <w:szCs w:val="24"/>
          <w:lang w:val="en-US"/>
        </w:rPr>
      </w:pPr>
      <w:r w:rsidRPr="00510BA5">
        <w:rPr>
          <w:rFonts w:ascii="Times New Roman" w:hAnsi="Times New Roman" w:cs="Calibri"/>
          <w:sz w:val="24"/>
          <w:szCs w:val="24"/>
          <w:lang w:val="en-US"/>
        </w:rPr>
        <w:t xml:space="preserve">Li DQ, Ohshiro K, Khan MN, Kumar R. Requirement of MTA1 in ATR-mediated DNA damage checkpoint function. J Biol Chem. 2010 Jun 25;285(26):19802-12. </w:t>
      </w:r>
    </w:p>
    <w:p w:rsidR="008A495D" w:rsidRPr="00510BA5" w:rsidRDefault="008A495D" w:rsidP="00510BA5">
      <w:pPr>
        <w:spacing w:line="360" w:lineRule="auto"/>
        <w:ind w:right="-1"/>
        <w:rPr>
          <w:rFonts w:ascii="Times New Roman" w:hAnsi="Times New Roman" w:cs="Calibri"/>
          <w:sz w:val="24"/>
          <w:szCs w:val="24"/>
          <w:lang w:val="en-US"/>
        </w:rPr>
      </w:pPr>
      <w:r w:rsidRPr="00510BA5">
        <w:rPr>
          <w:rFonts w:ascii="Times New Roman" w:hAnsi="Times New Roman" w:cs="Calibri"/>
          <w:sz w:val="24"/>
          <w:szCs w:val="24"/>
          <w:lang w:val="en-US"/>
        </w:rPr>
        <w:t>Lowy, AM, Kordich, JJ, Grimordi, V et al. Numerous colonic adenomas in individuals with Bloom’s syndrome.</w:t>
      </w:r>
      <w:r w:rsidRPr="002E792C">
        <w:rPr>
          <w:rStyle w:val="EndnoteText1"/>
          <w:lang w:val="en-US"/>
        </w:rPr>
        <w:t xml:space="preserve"> </w:t>
      </w:r>
      <w:r w:rsidRPr="00EE6B6A">
        <w:rPr>
          <w:lang w:val="en-US"/>
        </w:rPr>
        <w:t xml:space="preserve">Gastroenterology. </w:t>
      </w:r>
      <w:r w:rsidRPr="00EE6B6A">
        <w:rPr>
          <w:bCs/>
          <w:lang w:val="en-US"/>
        </w:rPr>
        <w:t>2001</w:t>
      </w:r>
      <w:r w:rsidRPr="00EE6B6A">
        <w:rPr>
          <w:lang w:val="en-US"/>
        </w:rPr>
        <w:t xml:space="preserve"> Aug;121(2):435-9.</w:t>
      </w:r>
    </w:p>
    <w:p w:rsidR="008A495D" w:rsidRDefault="008A495D" w:rsidP="00510BA5">
      <w:pPr>
        <w:spacing w:line="360" w:lineRule="auto"/>
        <w:ind w:right="-1"/>
        <w:rPr>
          <w:rFonts w:ascii="Times New Roman" w:hAnsi="Times New Roman" w:cs="Calibri"/>
          <w:sz w:val="24"/>
          <w:szCs w:val="24"/>
          <w:lang w:val="en-US"/>
        </w:rPr>
      </w:pPr>
      <w:r w:rsidRPr="00510BA5">
        <w:rPr>
          <w:rFonts w:ascii="Times New Roman" w:hAnsi="Times New Roman" w:cs="Calibri"/>
          <w:sz w:val="24"/>
          <w:szCs w:val="24"/>
          <w:lang w:val="en-US"/>
        </w:rPr>
        <w:t>Macé-Aimé G, Couvé S, Khassenov B, Rosselli F, Saparbaev MK. The Fanconi anemia pathway promotes DNA glycosylase-dependent excision of interstrand DNA crosslinks. Environ Mol M</w:t>
      </w:r>
      <w:r>
        <w:rPr>
          <w:rFonts w:ascii="Times New Roman" w:hAnsi="Times New Roman" w:cs="Calibri"/>
          <w:sz w:val="24"/>
          <w:szCs w:val="24"/>
          <w:lang w:val="en-US"/>
        </w:rPr>
        <w:t xml:space="preserve">utagen. 2010 Jul;51(6):508-19. </w:t>
      </w:r>
    </w:p>
    <w:p w:rsidR="008A495D" w:rsidRPr="00510BA5" w:rsidRDefault="008A495D" w:rsidP="00510BA5">
      <w:pPr>
        <w:spacing w:line="360" w:lineRule="auto"/>
        <w:ind w:right="-1"/>
        <w:rPr>
          <w:rFonts w:ascii="Times New Roman" w:hAnsi="Times New Roman" w:cs="Calibri"/>
          <w:sz w:val="24"/>
          <w:szCs w:val="24"/>
          <w:lang w:val="en-US"/>
        </w:rPr>
      </w:pPr>
      <w:r>
        <w:rPr>
          <w:rFonts w:ascii="Times New Roman" w:hAnsi="Times New Roman" w:cs="Calibri"/>
          <w:sz w:val="24"/>
          <w:szCs w:val="24"/>
          <w:lang w:val="en-US"/>
        </w:rPr>
        <w:t>Preston, DL, Shimizu,Y, Pierce, DA, Suyama, A, Mabuchi, K. Studies  of mortality of atomiv bomb survivors. Report 13: solid cancer and noncancer disease mortality:1950-1997. Radiat Res 2003: 160:381-407.</w:t>
      </w:r>
    </w:p>
    <w:p w:rsidR="008A495D" w:rsidRPr="00510BA5" w:rsidRDefault="008A495D" w:rsidP="00510BA5">
      <w:pPr>
        <w:spacing w:line="360" w:lineRule="auto"/>
        <w:ind w:right="-1"/>
        <w:rPr>
          <w:rFonts w:ascii="Times New Roman" w:hAnsi="Times New Roman" w:cs="Calibri"/>
          <w:sz w:val="24"/>
          <w:szCs w:val="24"/>
          <w:lang w:val="en-US"/>
        </w:rPr>
      </w:pPr>
      <w:r w:rsidRPr="00510BA5">
        <w:rPr>
          <w:rFonts w:ascii="Times New Roman" w:hAnsi="Times New Roman" w:cs="Calibri"/>
          <w:sz w:val="24"/>
          <w:szCs w:val="24"/>
          <w:lang w:val="en-US"/>
        </w:rPr>
        <w:t>Siitonen HA, Kopra O, Kääriäinen H, Haravuori H, Winter RM, Säämänen AM, Peltonen L, Kestilä M. Molecular defect of RAPADILINO syndrome expands the phenotype spectrum of RECQL diseases. Hum Mol Genet. 2003 Nov 1;12(21):2837-44. Epub 2003 Sep 2.</w:t>
      </w:r>
    </w:p>
    <w:p w:rsidR="008A495D" w:rsidRPr="00510BA5" w:rsidRDefault="008A495D" w:rsidP="00510BA5">
      <w:pPr>
        <w:spacing w:line="360" w:lineRule="auto"/>
        <w:ind w:right="-1"/>
        <w:rPr>
          <w:rFonts w:ascii="Times New Roman" w:hAnsi="Times New Roman" w:cs="Calibri"/>
          <w:sz w:val="24"/>
          <w:szCs w:val="24"/>
          <w:lang w:val="en-US"/>
        </w:rPr>
      </w:pPr>
      <w:r w:rsidRPr="00510BA5">
        <w:rPr>
          <w:rFonts w:ascii="Times New Roman" w:hAnsi="Times New Roman" w:cs="Calibri"/>
          <w:sz w:val="24"/>
          <w:szCs w:val="24"/>
          <w:lang w:val="en-US"/>
        </w:rPr>
        <w:t xml:space="preserve">Thompson D, Duedal S, Kirner J, McGuffog L, Last J, Reiman A, Byrd P, Taylor M, Easton DF. Cancer risks and mortality in heterozygous ATM mutation carriers. J Natl Cancer </w:t>
      </w:r>
      <w:r>
        <w:rPr>
          <w:rFonts w:ascii="Times New Roman" w:hAnsi="Times New Roman" w:cs="Calibri"/>
          <w:sz w:val="24"/>
          <w:szCs w:val="24"/>
          <w:lang w:val="en-US"/>
        </w:rPr>
        <w:t>Inst. 2005 Jun 1;97(11):813-22.</w:t>
      </w:r>
    </w:p>
    <w:p w:rsidR="008A495D" w:rsidRDefault="008A495D" w:rsidP="00510BA5">
      <w:pPr>
        <w:spacing w:line="360" w:lineRule="auto"/>
        <w:ind w:right="-1"/>
        <w:rPr>
          <w:rFonts w:ascii="Times New Roman" w:hAnsi="Times New Roman" w:cs="Calibri"/>
          <w:sz w:val="24"/>
          <w:szCs w:val="24"/>
          <w:lang w:val="en-US"/>
        </w:rPr>
      </w:pPr>
      <w:r w:rsidRPr="00510BA5">
        <w:rPr>
          <w:rFonts w:ascii="Times New Roman" w:hAnsi="Times New Roman" w:cs="Calibri"/>
          <w:sz w:val="24"/>
          <w:szCs w:val="24"/>
          <w:lang w:val="en-US"/>
        </w:rPr>
        <w:t xml:space="preserve">Thorstenson YR, Roxas A, Kroiss R, Jenkins MA, Yu KM, Bachrich T, Muhr D, Wayne TL, Chu G, Davis RW, Wagner TM, Oefner PJ. Contributions of ATM mutations to familial breast and ovarian cancer. Cancer Res. 2003 Jun 5;63(12):3325-33. </w:t>
      </w:r>
    </w:p>
    <w:p w:rsidR="008A495D" w:rsidRPr="00510BA5" w:rsidRDefault="008A495D" w:rsidP="00510BA5">
      <w:pPr>
        <w:spacing w:line="360" w:lineRule="auto"/>
        <w:ind w:right="-1"/>
        <w:rPr>
          <w:rFonts w:ascii="Times New Roman" w:hAnsi="Times New Roman" w:cs="Calibri"/>
          <w:sz w:val="24"/>
          <w:szCs w:val="24"/>
          <w:lang w:val="en-US"/>
        </w:rPr>
      </w:pPr>
      <w:r>
        <w:rPr>
          <w:rFonts w:ascii="Times New Roman" w:hAnsi="Times New Roman" w:cs="Calibri"/>
          <w:sz w:val="24"/>
          <w:szCs w:val="24"/>
          <w:lang w:val="en-US"/>
        </w:rPr>
        <w:t>Travis, LB, Ng, AK, Allan, JM et al. Second malignant neoplasms and cardiovascular disease following radiotherapy. J Natl Cancer Inst  2012; Feb 6:357-70.</w:t>
      </w:r>
    </w:p>
    <w:p w:rsidR="008A495D" w:rsidRPr="00510BA5" w:rsidRDefault="008A495D" w:rsidP="00510BA5">
      <w:pPr>
        <w:spacing w:line="360" w:lineRule="auto"/>
        <w:ind w:right="-1"/>
        <w:rPr>
          <w:rFonts w:ascii="Times New Roman" w:hAnsi="Times New Roman" w:cs="Calibri"/>
          <w:sz w:val="24"/>
          <w:szCs w:val="24"/>
          <w:lang w:val="en-US"/>
        </w:rPr>
      </w:pPr>
      <w:r w:rsidRPr="00510BA5">
        <w:rPr>
          <w:rFonts w:ascii="Times New Roman" w:hAnsi="Times New Roman" w:cs="Calibri"/>
          <w:sz w:val="24"/>
          <w:szCs w:val="24"/>
          <w:lang w:val="en-US"/>
        </w:rPr>
        <w:t xml:space="preserve">UNSCEAR 2008 report, Vol 1:Sources and effects of ionizing radiation, United </w:t>
      </w:r>
      <w:r>
        <w:rPr>
          <w:rFonts w:ascii="Times New Roman" w:hAnsi="Times New Roman" w:cs="Calibri"/>
          <w:sz w:val="24"/>
          <w:szCs w:val="24"/>
          <w:lang w:val="en-US"/>
        </w:rPr>
        <w:t>Nations,</w:t>
      </w:r>
      <w:r w:rsidRPr="00510BA5">
        <w:rPr>
          <w:rFonts w:ascii="Times New Roman" w:hAnsi="Times New Roman" w:cs="Calibri"/>
          <w:sz w:val="24"/>
          <w:szCs w:val="24"/>
          <w:lang w:val="en-US"/>
        </w:rPr>
        <w:t xml:space="preserve"> NY 2010</w:t>
      </w:r>
    </w:p>
    <w:p w:rsidR="008A495D" w:rsidRPr="002E792C" w:rsidRDefault="008A495D" w:rsidP="006772D4">
      <w:pPr>
        <w:rPr>
          <w:lang w:val="en-US"/>
        </w:rPr>
      </w:pPr>
    </w:p>
    <w:p w:rsidR="008A495D" w:rsidRPr="002E792C" w:rsidRDefault="008A495D">
      <w:pPr>
        <w:rPr>
          <w:lang w:val="en-US"/>
        </w:rPr>
      </w:pPr>
    </w:p>
    <w:sectPr w:rsidR="008A495D" w:rsidRPr="002E792C" w:rsidSect="009916A4">
      <w:footerReference w:type="even" r:id="rId7"/>
      <w:footerReference w:type="default" r:id="rId8"/>
      <w:pgSz w:w="11906" w:h="16838"/>
      <w:pgMar w:top="1417" w:right="1134" w:bottom="1417"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A495D" w:rsidRDefault="008A495D" w:rsidP="00494049">
      <w:pPr>
        <w:spacing w:after="0" w:line="240" w:lineRule="auto"/>
      </w:pPr>
      <w:r>
        <w:separator/>
      </w:r>
    </w:p>
  </w:endnote>
  <w:endnote w:type="continuationSeparator" w:id="0">
    <w:p w:rsidR="008A495D" w:rsidRDefault="008A495D" w:rsidP="0049404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mn-cs">
    <w:panose1 w:val="00000000000000000000"/>
    <w:charset w:val="00"/>
    <w:family w:val="roma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495D" w:rsidRDefault="008A495D" w:rsidP="0074613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8A495D" w:rsidRDefault="008A495D" w:rsidP="00510BA5">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495D" w:rsidRDefault="008A495D" w:rsidP="0074613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rsidR="008A495D" w:rsidRDefault="008A495D" w:rsidP="00510BA5">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A495D" w:rsidRDefault="008A495D" w:rsidP="00494049">
      <w:pPr>
        <w:spacing w:after="0" w:line="240" w:lineRule="auto"/>
      </w:pPr>
      <w:r>
        <w:separator/>
      </w:r>
    </w:p>
  </w:footnote>
  <w:footnote w:type="continuationSeparator" w:id="0">
    <w:p w:rsidR="008A495D" w:rsidRDefault="008A495D" w:rsidP="0049404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1671C47"/>
    <w:multiLevelType w:val="hybridMultilevel"/>
    <w:tmpl w:val="003C3618"/>
    <w:lvl w:ilvl="0" w:tplc="C66A5A6E">
      <w:start w:val="1"/>
      <w:numFmt w:val="bullet"/>
      <w:lvlText w:val="•"/>
      <w:lvlJc w:val="left"/>
      <w:pPr>
        <w:tabs>
          <w:tab w:val="num" w:pos="720"/>
        </w:tabs>
        <w:ind w:left="720" w:hanging="360"/>
      </w:pPr>
      <w:rPr>
        <w:rFonts w:ascii="Arial" w:hAnsi="Arial" w:hint="default"/>
      </w:rPr>
    </w:lvl>
    <w:lvl w:ilvl="1" w:tplc="BFAA8D7A" w:tentative="1">
      <w:start w:val="1"/>
      <w:numFmt w:val="bullet"/>
      <w:lvlText w:val="•"/>
      <w:lvlJc w:val="left"/>
      <w:pPr>
        <w:tabs>
          <w:tab w:val="num" w:pos="1440"/>
        </w:tabs>
        <w:ind w:left="1440" w:hanging="360"/>
      </w:pPr>
      <w:rPr>
        <w:rFonts w:ascii="Arial" w:hAnsi="Arial" w:hint="default"/>
      </w:rPr>
    </w:lvl>
    <w:lvl w:ilvl="2" w:tplc="25768722" w:tentative="1">
      <w:start w:val="1"/>
      <w:numFmt w:val="bullet"/>
      <w:lvlText w:val="•"/>
      <w:lvlJc w:val="left"/>
      <w:pPr>
        <w:tabs>
          <w:tab w:val="num" w:pos="2160"/>
        </w:tabs>
        <w:ind w:left="2160" w:hanging="360"/>
      </w:pPr>
      <w:rPr>
        <w:rFonts w:ascii="Arial" w:hAnsi="Arial" w:hint="default"/>
      </w:rPr>
    </w:lvl>
    <w:lvl w:ilvl="3" w:tplc="CB96C480" w:tentative="1">
      <w:start w:val="1"/>
      <w:numFmt w:val="bullet"/>
      <w:lvlText w:val="•"/>
      <w:lvlJc w:val="left"/>
      <w:pPr>
        <w:tabs>
          <w:tab w:val="num" w:pos="2880"/>
        </w:tabs>
        <w:ind w:left="2880" w:hanging="360"/>
      </w:pPr>
      <w:rPr>
        <w:rFonts w:ascii="Arial" w:hAnsi="Arial" w:hint="default"/>
      </w:rPr>
    </w:lvl>
    <w:lvl w:ilvl="4" w:tplc="E640BB2A" w:tentative="1">
      <w:start w:val="1"/>
      <w:numFmt w:val="bullet"/>
      <w:lvlText w:val="•"/>
      <w:lvlJc w:val="left"/>
      <w:pPr>
        <w:tabs>
          <w:tab w:val="num" w:pos="3600"/>
        </w:tabs>
        <w:ind w:left="3600" w:hanging="360"/>
      </w:pPr>
      <w:rPr>
        <w:rFonts w:ascii="Arial" w:hAnsi="Arial" w:hint="default"/>
      </w:rPr>
    </w:lvl>
    <w:lvl w:ilvl="5" w:tplc="B68CCFA8" w:tentative="1">
      <w:start w:val="1"/>
      <w:numFmt w:val="bullet"/>
      <w:lvlText w:val="•"/>
      <w:lvlJc w:val="left"/>
      <w:pPr>
        <w:tabs>
          <w:tab w:val="num" w:pos="4320"/>
        </w:tabs>
        <w:ind w:left="4320" w:hanging="360"/>
      </w:pPr>
      <w:rPr>
        <w:rFonts w:ascii="Arial" w:hAnsi="Arial" w:hint="default"/>
      </w:rPr>
    </w:lvl>
    <w:lvl w:ilvl="6" w:tplc="EC7E5826" w:tentative="1">
      <w:start w:val="1"/>
      <w:numFmt w:val="bullet"/>
      <w:lvlText w:val="•"/>
      <w:lvlJc w:val="left"/>
      <w:pPr>
        <w:tabs>
          <w:tab w:val="num" w:pos="5040"/>
        </w:tabs>
        <w:ind w:left="5040" w:hanging="360"/>
      </w:pPr>
      <w:rPr>
        <w:rFonts w:ascii="Arial" w:hAnsi="Arial" w:hint="default"/>
      </w:rPr>
    </w:lvl>
    <w:lvl w:ilvl="7" w:tplc="2B7A2DAA" w:tentative="1">
      <w:start w:val="1"/>
      <w:numFmt w:val="bullet"/>
      <w:lvlText w:val="•"/>
      <w:lvlJc w:val="left"/>
      <w:pPr>
        <w:tabs>
          <w:tab w:val="num" w:pos="5760"/>
        </w:tabs>
        <w:ind w:left="5760" w:hanging="360"/>
      </w:pPr>
      <w:rPr>
        <w:rFonts w:ascii="Arial" w:hAnsi="Arial" w:hint="default"/>
      </w:rPr>
    </w:lvl>
    <w:lvl w:ilvl="8" w:tplc="3E28EFEA" w:tentative="1">
      <w:start w:val="1"/>
      <w:numFmt w:val="bullet"/>
      <w:lvlText w:val="•"/>
      <w:lvlJc w:val="left"/>
      <w:pPr>
        <w:tabs>
          <w:tab w:val="num" w:pos="6480"/>
        </w:tabs>
        <w:ind w:left="6480" w:hanging="360"/>
      </w:pPr>
      <w:rPr>
        <w:rFonts w:ascii="Arial" w:hAnsi="Arial"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20"/>
  <w:hyphenationZone w:val="425"/>
  <w:displayHorizontalDrawingGridEvery w:val="0"/>
  <w:displayVerticalDrawingGridEvery w:val="0"/>
  <w:doNotUseMarginsForDrawingGridOrigin/>
  <w:noPunctuationKerning/>
  <w:characterSpacingControl w:val="doNotCompress"/>
  <w:savePreviewPicture/>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772D4"/>
    <w:rsid w:val="000A504E"/>
    <w:rsid w:val="0010048F"/>
    <w:rsid w:val="00275371"/>
    <w:rsid w:val="002A4041"/>
    <w:rsid w:val="002E792C"/>
    <w:rsid w:val="00446EC5"/>
    <w:rsid w:val="00494049"/>
    <w:rsid w:val="004F4895"/>
    <w:rsid w:val="00510BA5"/>
    <w:rsid w:val="006772D4"/>
    <w:rsid w:val="006A5DC6"/>
    <w:rsid w:val="0074613A"/>
    <w:rsid w:val="008A495D"/>
    <w:rsid w:val="00955E46"/>
    <w:rsid w:val="009916A4"/>
    <w:rsid w:val="00C747CA"/>
    <w:rsid w:val="00C87256"/>
    <w:rsid w:val="00DF48E8"/>
    <w:rsid w:val="00E063E0"/>
    <w:rsid w:val="00E32257"/>
    <w:rsid w:val="00E866A8"/>
    <w:rsid w:val="00EE476F"/>
    <w:rsid w:val="00EE6B6A"/>
    <w:rsid w:val="00F6157C"/>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mbria" w:eastAsia="Cambria" w:hAnsi="Cambria"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semiHidden="0" w:uiPriority="0" w:unhideWhenUsed="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 Lis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772D4"/>
    <w:pPr>
      <w:spacing w:after="200" w:line="276" w:lineRule="auto"/>
    </w:pPr>
    <w:rPr>
      <w:rFonts w:ascii="Calibri" w:hAnsi="Calibri"/>
      <w:lang w:val="fi-FI"/>
    </w:rPr>
  </w:style>
  <w:style w:type="paragraph" w:styleId="Heading1">
    <w:name w:val="heading 1"/>
    <w:basedOn w:val="Normal"/>
    <w:next w:val="Normal"/>
    <w:link w:val="Heading1Char"/>
    <w:uiPriority w:val="99"/>
    <w:qFormat/>
    <w:rsid w:val="006772D4"/>
    <w:pPr>
      <w:keepNext/>
      <w:keepLines/>
      <w:spacing w:before="480" w:after="0"/>
      <w:outlineLvl w:val="0"/>
    </w:pPr>
    <w:rPr>
      <w:rFonts w:ascii="Cambria" w:eastAsia="Times New Roman" w:hAnsi="Cambria"/>
      <w:b/>
      <w:bCs/>
      <w:color w:val="365F91"/>
      <w:sz w:val="28"/>
      <w:szCs w:val="28"/>
    </w:rPr>
  </w:style>
  <w:style w:type="paragraph" w:styleId="Heading3">
    <w:name w:val="heading 3"/>
    <w:basedOn w:val="Normal"/>
    <w:link w:val="Heading3Char"/>
    <w:uiPriority w:val="99"/>
    <w:qFormat/>
    <w:rsid w:val="006772D4"/>
    <w:pPr>
      <w:spacing w:before="100" w:beforeAutospacing="1" w:after="100" w:afterAutospacing="1" w:line="240" w:lineRule="auto"/>
      <w:outlineLvl w:val="2"/>
    </w:pPr>
    <w:rPr>
      <w:rFonts w:ascii="Times New Roman" w:eastAsia="Times New Roman" w:hAnsi="Times New Roman"/>
      <w:b/>
      <w:bCs/>
      <w:sz w:val="27"/>
      <w:szCs w:val="27"/>
      <w:lang w:eastAsia="fi-FI"/>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Kappaleenoletuskirjasin1"/>
    <w:link w:val="Heading1"/>
    <w:uiPriority w:val="99"/>
    <w:locked/>
    <w:rsid w:val="006772D4"/>
    <w:rPr>
      <w:rFonts w:ascii="Cambria" w:hAnsi="Cambria" w:cs="Times New Roman"/>
      <w:b/>
      <w:bCs/>
      <w:color w:val="365F91"/>
      <w:sz w:val="28"/>
      <w:szCs w:val="28"/>
    </w:rPr>
  </w:style>
  <w:style w:type="character" w:customStyle="1" w:styleId="Heading3Char">
    <w:name w:val="Heading 3 Char"/>
    <w:basedOn w:val="Kappaleenoletuskirjasin1"/>
    <w:link w:val="Heading3"/>
    <w:uiPriority w:val="99"/>
    <w:locked/>
    <w:rsid w:val="006772D4"/>
    <w:rPr>
      <w:rFonts w:ascii="Times New Roman" w:hAnsi="Times New Roman" w:cs="Times New Roman"/>
      <w:b/>
      <w:bCs/>
      <w:sz w:val="27"/>
      <w:szCs w:val="27"/>
      <w:lang w:eastAsia="fi-FI"/>
    </w:rPr>
  </w:style>
  <w:style w:type="character" w:customStyle="1" w:styleId="EndnoteText1">
    <w:name w:val="Endnote Text1"/>
    <w:uiPriority w:val="99"/>
    <w:semiHidden/>
    <w:rsid w:val="00494049"/>
  </w:style>
  <w:style w:type="character" w:customStyle="1" w:styleId="Kappaleenoletuskirjasin1">
    <w:name w:val="Kappaleen oletuskirjasin1"/>
    <w:uiPriority w:val="99"/>
    <w:semiHidden/>
    <w:rsid w:val="00E866A8"/>
  </w:style>
  <w:style w:type="character" w:customStyle="1" w:styleId="Kappaleenoletuskirjasin11">
    <w:name w:val="Kappaleen oletuskirjasin11"/>
    <w:uiPriority w:val="99"/>
  </w:style>
  <w:style w:type="table" w:customStyle="1" w:styleId="TableNormal1">
    <w:name w:val="Table Normal1"/>
    <w:uiPriority w:val="99"/>
    <w:semiHidden/>
    <w:pPr>
      <w:spacing w:after="200"/>
    </w:pPr>
    <w:rPr>
      <w:sz w:val="20"/>
      <w:szCs w:val="20"/>
      <w:lang w:val="fi-FI"/>
    </w:rPr>
    <w:tblPr>
      <w:tblInd w:w="0" w:type="dxa"/>
      <w:tblCellMar>
        <w:top w:w="0" w:type="dxa"/>
        <w:left w:w="108" w:type="dxa"/>
        <w:bottom w:w="0" w:type="dxa"/>
        <w:right w:w="108" w:type="dxa"/>
      </w:tblCellMar>
    </w:tblPr>
  </w:style>
  <w:style w:type="character" w:customStyle="1" w:styleId="EndnoteText11">
    <w:name w:val="Endnote Text11"/>
    <w:uiPriority w:val="99"/>
    <w:semiHidden/>
    <w:rsid w:val="006772D4"/>
  </w:style>
  <w:style w:type="paragraph" w:styleId="NormalWeb">
    <w:name w:val="Normal (Web)"/>
    <w:basedOn w:val="Normal"/>
    <w:uiPriority w:val="99"/>
    <w:semiHidden/>
    <w:rsid w:val="006772D4"/>
    <w:pPr>
      <w:spacing w:before="100" w:beforeAutospacing="1" w:after="100" w:afterAutospacing="1" w:line="240" w:lineRule="auto"/>
    </w:pPr>
    <w:rPr>
      <w:rFonts w:ascii="Times New Roman" w:eastAsia="Times New Roman" w:hAnsi="Times New Roman"/>
      <w:sz w:val="24"/>
      <w:szCs w:val="24"/>
      <w:lang w:eastAsia="fi-FI"/>
    </w:rPr>
  </w:style>
  <w:style w:type="paragraph" w:customStyle="1" w:styleId="citation">
    <w:name w:val="citation"/>
    <w:basedOn w:val="Normal"/>
    <w:uiPriority w:val="99"/>
    <w:rsid w:val="006772D4"/>
    <w:pPr>
      <w:spacing w:before="100" w:beforeAutospacing="1" w:after="100" w:afterAutospacing="1" w:line="240" w:lineRule="auto"/>
    </w:pPr>
    <w:rPr>
      <w:rFonts w:ascii="Times New Roman" w:eastAsia="Times New Roman" w:hAnsi="Times New Roman"/>
      <w:sz w:val="24"/>
      <w:szCs w:val="24"/>
      <w:lang w:eastAsia="fi-FI"/>
    </w:rPr>
  </w:style>
  <w:style w:type="character" w:styleId="Hyperlink">
    <w:name w:val="Hyperlink"/>
    <w:basedOn w:val="Kappaleenoletuskirjasin11"/>
    <w:uiPriority w:val="99"/>
    <w:semiHidden/>
    <w:rsid w:val="006772D4"/>
    <w:rPr>
      <w:rFonts w:cs="Times New Roman"/>
      <w:color w:val="0000FF"/>
      <w:u w:val="single"/>
    </w:rPr>
  </w:style>
  <w:style w:type="paragraph" w:customStyle="1" w:styleId="authlist">
    <w:name w:val="auth_list"/>
    <w:basedOn w:val="Normal"/>
    <w:uiPriority w:val="99"/>
    <w:rsid w:val="006772D4"/>
    <w:pPr>
      <w:spacing w:before="100" w:beforeAutospacing="1" w:after="100" w:afterAutospacing="1" w:line="240" w:lineRule="auto"/>
    </w:pPr>
    <w:rPr>
      <w:rFonts w:ascii="Times New Roman" w:eastAsia="Times New Roman" w:hAnsi="Times New Roman"/>
      <w:sz w:val="24"/>
      <w:szCs w:val="24"/>
      <w:lang w:eastAsia="fi-FI"/>
    </w:rPr>
  </w:style>
  <w:style w:type="paragraph" w:styleId="Header">
    <w:name w:val="header"/>
    <w:basedOn w:val="Normal"/>
    <w:link w:val="HeaderChar"/>
    <w:uiPriority w:val="99"/>
    <w:rsid w:val="006772D4"/>
    <w:pPr>
      <w:tabs>
        <w:tab w:val="center" w:pos="4819"/>
        <w:tab w:val="right" w:pos="9638"/>
      </w:tabs>
      <w:spacing w:after="0" w:line="240" w:lineRule="auto"/>
    </w:pPr>
  </w:style>
  <w:style w:type="character" w:customStyle="1" w:styleId="HeaderChar">
    <w:name w:val="Header Char"/>
    <w:basedOn w:val="Kappaleenoletuskirjasin1"/>
    <w:link w:val="Header"/>
    <w:uiPriority w:val="99"/>
    <w:locked/>
    <w:rsid w:val="006772D4"/>
    <w:rPr>
      <w:rFonts w:ascii="Calibri" w:eastAsia="Times New Roman" w:hAnsi="Calibri" w:cs="Times New Roman"/>
      <w:sz w:val="22"/>
      <w:szCs w:val="22"/>
    </w:rPr>
  </w:style>
  <w:style w:type="paragraph" w:styleId="Footer">
    <w:name w:val="footer"/>
    <w:basedOn w:val="Normal"/>
    <w:link w:val="FooterChar"/>
    <w:uiPriority w:val="99"/>
    <w:rsid w:val="006772D4"/>
    <w:pPr>
      <w:tabs>
        <w:tab w:val="center" w:pos="4819"/>
        <w:tab w:val="right" w:pos="9638"/>
      </w:tabs>
      <w:spacing w:after="0" w:line="240" w:lineRule="auto"/>
    </w:pPr>
  </w:style>
  <w:style w:type="character" w:customStyle="1" w:styleId="FooterChar">
    <w:name w:val="Footer Char"/>
    <w:basedOn w:val="Kappaleenoletuskirjasin1"/>
    <w:link w:val="Footer"/>
    <w:uiPriority w:val="99"/>
    <w:locked/>
    <w:rsid w:val="006772D4"/>
    <w:rPr>
      <w:rFonts w:ascii="Calibri" w:eastAsia="Times New Roman" w:hAnsi="Calibri" w:cs="Times New Roman"/>
      <w:sz w:val="22"/>
      <w:szCs w:val="22"/>
    </w:rPr>
  </w:style>
  <w:style w:type="paragraph" w:customStyle="1" w:styleId="Title1">
    <w:name w:val="Title1"/>
    <w:basedOn w:val="Normal"/>
    <w:uiPriority w:val="99"/>
    <w:rsid w:val="006772D4"/>
    <w:pPr>
      <w:spacing w:before="100" w:beforeAutospacing="1" w:after="100" w:afterAutospacing="1" w:line="240" w:lineRule="auto"/>
    </w:pPr>
    <w:rPr>
      <w:rFonts w:ascii="Times New Roman" w:eastAsia="Times New Roman" w:hAnsi="Times New Roman"/>
      <w:sz w:val="24"/>
      <w:szCs w:val="24"/>
      <w:lang w:eastAsia="fi-FI"/>
    </w:rPr>
  </w:style>
  <w:style w:type="paragraph" w:customStyle="1" w:styleId="desc">
    <w:name w:val="desc"/>
    <w:basedOn w:val="Normal"/>
    <w:uiPriority w:val="99"/>
    <w:rsid w:val="006772D4"/>
    <w:pPr>
      <w:spacing w:before="100" w:beforeAutospacing="1" w:after="100" w:afterAutospacing="1" w:line="240" w:lineRule="auto"/>
    </w:pPr>
    <w:rPr>
      <w:rFonts w:ascii="Times New Roman" w:eastAsia="Times New Roman" w:hAnsi="Times New Roman"/>
      <w:sz w:val="24"/>
      <w:szCs w:val="24"/>
      <w:lang w:eastAsia="fi-FI"/>
    </w:rPr>
  </w:style>
  <w:style w:type="paragraph" w:customStyle="1" w:styleId="details">
    <w:name w:val="details"/>
    <w:basedOn w:val="Normal"/>
    <w:uiPriority w:val="99"/>
    <w:rsid w:val="006772D4"/>
    <w:pPr>
      <w:spacing w:before="100" w:beforeAutospacing="1" w:after="100" w:afterAutospacing="1" w:line="240" w:lineRule="auto"/>
    </w:pPr>
    <w:rPr>
      <w:rFonts w:ascii="Times New Roman" w:eastAsia="Times New Roman" w:hAnsi="Times New Roman"/>
      <w:sz w:val="24"/>
      <w:szCs w:val="24"/>
      <w:lang w:eastAsia="fi-FI"/>
    </w:rPr>
  </w:style>
  <w:style w:type="character" w:customStyle="1" w:styleId="jrnl">
    <w:name w:val="jrnl"/>
    <w:basedOn w:val="Kappaleenoletuskirjasin11"/>
    <w:uiPriority w:val="99"/>
    <w:rsid w:val="006772D4"/>
    <w:rPr>
      <w:rFonts w:cs="Times New Roman"/>
    </w:rPr>
  </w:style>
  <w:style w:type="table" w:styleId="TableGrid">
    <w:name w:val="Table Grid"/>
    <w:basedOn w:val="TableNormal"/>
    <w:uiPriority w:val="99"/>
    <w:rsid w:val="006772D4"/>
    <w:rPr>
      <w:rFonts w:ascii="Calibri" w:hAnsi="Calibri"/>
      <w:sz w:val="20"/>
      <w:szCs w:val="20"/>
      <w:lang w:eastAsia="fi-F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aption">
    <w:name w:val="caption"/>
    <w:basedOn w:val="Normal"/>
    <w:next w:val="Normal"/>
    <w:uiPriority w:val="99"/>
    <w:qFormat/>
    <w:rsid w:val="006772D4"/>
    <w:pPr>
      <w:spacing w:line="240" w:lineRule="auto"/>
    </w:pPr>
    <w:rPr>
      <w:b/>
      <w:bCs/>
      <w:color w:val="4F81BD"/>
      <w:sz w:val="18"/>
      <w:szCs w:val="18"/>
    </w:rPr>
  </w:style>
  <w:style w:type="character" w:styleId="FollowedHyperlink">
    <w:name w:val="FollowedHyperlink"/>
    <w:basedOn w:val="Kappaleenoletuskirjasin11"/>
    <w:uiPriority w:val="99"/>
    <w:semiHidden/>
    <w:rsid w:val="006772D4"/>
    <w:rPr>
      <w:rFonts w:cs="Times New Roman"/>
      <w:color w:val="800080"/>
      <w:u w:val="single"/>
    </w:rPr>
  </w:style>
  <w:style w:type="paragraph" w:styleId="BalloonText">
    <w:name w:val="Balloon Text"/>
    <w:basedOn w:val="Normal"/>
    <w:link w:val="BalloonTextChar"/>
    <w:uiPriority w:val="99"/>
    <w:semiHidden/>
    <w:rsid w:val="006772D4"/>
    <w:pPr>
      <w:spacing w:after="0" w:line="240" w:lineRule="auto"/>
    </w:pPr>
    <w:rPr>
      <w:rFonts w:ascii="Tahoma" w:hAnsi="Tahoma" w:cs="Tahoma"/>
      <w:sz w:val="16"/>
      <w:szCs w:val="16"/>
    </w:rPr>
  </w:style>
  <w:style w:type="character" w:customStyle="1" w:styleId="BalloonTextChar">
    <w:name w:val="Balloon Text Char"/>
    <w:basedOn w:val="Kappaleenoletuskirjasin1"/>
    <w:link w:val="BalloonText"/>
    <w:uiPriority w:val="99"/>
    <w:semiHidden/>
    <w:locked/>
    <w:rsid w:val="006772D4"/>
    <w:rPr>
      <w:rFonts w:ascii="Tahoma" w:eastAsia="Times New Roman" w:hAnsi="Tahoma" w:cs="Tahoma"/>
      <w:sz w:val="16"/>
      <w:szCs w:val="16"/>
    </w:rPr>
  </w:style>
  <w:style w:type="paragraph" w:styleId="ListParagraph">
    <w:name w:val="List Paragraph"/>
    <w:basedOn w:val="Normal"/>
    <w:uiPriority w:val="99"/>
    <w:qFormat/>
    <w:rsid w:val="006772D4"/>
    <w:pPr>
      <w:spacing w:after="0" w:line="240" w:lineRule="auto"/>
      <w:ind w:left="720"/>
      <w:contextualSpacing/>
    </w:pPr>
    <w:rPr>
      <w:rFonts w:ascii="Times New Roman" w:eastAsia="Times New Roman" w:hAnsi="Times New Roman"/>
      <w:sz w:val="24"/>
      <w:szCs w:val="24"/>
      <w:lang w:eastAsia="fi-FI"/>
    </w:rPr>
  </w:style>
  <w:style w:type="character" w:styleId="PageNumber">
    <w:name w:val="page number"/>
    <w:basedOn w:val="EndnoteText1"/>
    <w:uiPriority w:val="99"/>
    <w:semiHidden/>
    <w:rsid w:val="00510BA5"/>
    <w:rPr>
      <w:rFonts w:cs="Times New Roman"/>
    </w:rPr>
  </w:style>
  <w:style w:type="paragraph" w:customStyle="1" w:styleId="title">
    <w:name w:val="title"/>
    <w:basedOn w:val="Normal"/>
    <w:uiPriority w:val="99"/>
    <w:rsid w:val="00955E46"/>
    <w:pPr>
      <w:spacing w:before="100" w:beforeAutospacing="1" w:after="100" w:afterAutospacing="1" w:line="240" w:lineRule="auto"/>
    </w:pPr>
    <w:rPr>
      <w:rFonts w:ascii="Times New Roman" w:eastAsia="Times New Roman" w:hAnsi="Times New Roman"/>
      <w:sz w:val="24"/>
      <w:szCs w:val="24"/>
      <w:lang w:eastAsia="fi-FI"/>
    </w:rPr>
  </w:style>
</w:styles>
</file>

<file path=word/webSettings.xml><?xml version="1.0" encoding="utf-8"?>
<w:webSettings xmlns:r="http://schemas.openxmlformats.org/officeDocument/2006/relationships" xmlns:w="http://schemas.openxmlformats.org/wordprocessingml/2006/main">
  <w:divs>
    <w:div w:id="2072380952">
      <w:marLeft w:val="0"/>
      <w:marRight w:val="0"/>
      <w:marTop w:val="0"/>
      <w:marBottom w:val="0"/>
      <w:divBdr>
        <w:top w:val="none" w:sz="0" w:space="0" w:color="auto"/>
        <w:left w:val="none" w:sz="0" w:space="0" w:color="auto"/>
        <w:bottom w:val="none" w:sz="0" w:space="0" w:color="auto"/>
        <w:right w:val="none" w:sz="0" w:space="0" w:color="auto"/>
      </w:divBdr>
      <w:divsChild>
        <w:div w:id="2072380961">
          <w:marLeft w:val="0"/>
          <w:marRight w:val="0"/>
          <w:marTop w:val="0"/>
          <w:marBottom w:val="0"/>
          <w:divBdr>
            <w:top w:val="none" w:sz="0" w:space="0" w:color="auto"/>
            <w:left w:val="none" w:sz="0" w:space="0" w:color="auto"/>
            <w:bottom w:val="none" w:sz="0" w:space="0" w:color="auto"/>
            <w:right w:val="none" w:sz="0" w:space="0" w:color="auto"/>
          </w:divBdr>
          <w:divsChild>
            <w:div w:id="2072380953">
              <w:marLeft w:val="0"/>
              <w:marRight w:val="0"/>
              <w:marTop w:val="0"/>
              <w:marBottom w:val="0"/>
              <w:divBdr>
                <w:top w:val="none" w:sz="0" w:space="0" w:color="auto"/>
                <w:left w:val="none" w:sz="0" w:space="0" w:color="auto"/>
                <w:bottom w:val="none" w:sz="0" w:space="0" w:color="auto"/>
                <w:right w:val="none" w:sz="0" w:space="0" w:color="auto"/>
              </w:divBdr>
              <w:divsChild>
                <w:div w:id="2072380960">
                  <w:marLeft w:val="0"/>
                  <w:marRight w:val="0"/>
                  <w:marTop w:val="0"/>
                  <w:marBottom w:val="0"/>
                  <w:divBdr>
                    <w:top w:val="none" w:sz="0" w:space="0" w:color="auto"/>
                    <w:left w:val="none" w:sz="0" w:space="0" w:color="auto"/>
                    <w:bottom w:val="none" w:sz="0" w:space="0" w:color="auto"/>
                    <w:right w:val="none" w:sz="0" w:space="0" w:color="auto"/>
                  </w:divBdr>
                  <w:divsChild>
                    <w:div w:id="2072380945">
                      <w:marLeft w:val="0"/>
                      <w:marRight w:val="0"/>
                      <w:marTop w:val="0"/>
                      <w:marBottom w:val="0"/>
                      <w:divBdr>
                        <w:top w:val="none" w:sz="0" w:space="0" w:color="auto"/>
                        <w:left w:val="none" w:sz="0" w:space="0" w:color="auto"/>
                        <w:bottom w:val="none" w:sz="0" w:space="0" w:color="auto"/>
                        <w:right w:val="none" w:sz="0" w:space="0" w:color="auto"/>
                      </w:divBdr>
                      <w:divsChild>
                        <w:div w:id="2072380947">
                          <w:marLeft w:val="0"/>
                          <w:marRight w:val="0"/>
                          <w:marTop w:val="0"/>
                          <w:marBottom w:val="0"/>
                          <w:divBdr>
                            <w:top w:val="none" w:sz="0" w:space="0" w:color="auto"/>
                            <w:left w:val="none" w:sz="0" w:space="0" w:color="auto"/>
                            <w:bottom w:val="none" w:sz="0" w:space="0" w:color="auto"/>
                            <w:right w:val="none" w:sz="0" w:space="0" w:color="auto"/>
                          </w:divBdr>
                          <w:divsChild>
                            <w:div w:id="2072380954">
                              <w:marLeft w:val="0"/>
                              <w:marRight w:val="0"/>
                              <w:marTop w:val="0"/>
                              <w:marBottom w:val="0"/>
                              <w:divBdr>
                                <w:top w:val="none" w:sz="0" w:space="0" w:color="auto"/>
                                <w:left w:val="none" w:sz="0" w:space="0" w:color="auto"/>
                                <w:bottom w:val="none" w:sz="0" w:space="0" w:color="auto"/>
                                <w:right w:val="none" w:sz="0" w:space="0" w:color="auto"/>
                              </w:divBdr>
                              <w:divsChild>
                                <w:div w:id="2072380962">
                                  <w:marLeft w:val="0"/>
                                  <w:marRight w:val="0"/>
                                  <w:marTop w:val="0"/>
                                  <w:marBottom w:val="0"/>
                                  <w:divBdr>
                                    <w:top w:val="none" w:sz="0" w:space="0" w:color="auto"/>
                                    <w:left w:val="none" w:sz="0" w:space="0" w:color="auto"/>
                                    <w:bottom w:val="none" w:sz="0" w:space="0" w:color="auto"/>
                                    <w:right w:val="none" w:sz="0" w:space="0" w:color="auto"/>
                                  </w:divBdr>
                                  <w:divsChild>
                                    <w:div w:id="2072380950">
                                      <w:marLeft w:val="0"/>
                                      <w:marRight w:val="0"/>
                                      <w:marTop w:val="0"/>
                                      <w:marBottom w:val="0"/>
                                      <w:divBdr>
                                        <w:top w:val="none" w:sz="0" w:space="0" w:color="auto"/>
                                        <w:left w:val="none" w:sz="0" w:space="0" w:color="auto"/>
                                        <w:bottom w:val="none" w:sz="0" w:space="0" w:color="auto"/>
                                        <w:right w:val="none" w:sz="0" w:space="0" w:color="auto"/>
                                      </w:divBdr>
                                      <w:divsChild>
                                        <w:div w:id="2072380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72380958">
      <w:marLeft w:val="0"/>
      <w:marRight w:val="0"/>
      <w:marTop w:val="0"/>
      <w:marBottom w:val="0"/>
      <w:divBdr>
        <w:top w:val="none" w:sz="0" w:space="0" w:color="auto"/>
        <w:left w:val="none" w:sz="0" w:space="0" w:color="auto"/>
        <w:bottom w:val="none" w:sz="0" w:space="0" w:color="auto"/>
        <w:right w:val="none" w:sz="0" w:space="0" w:color="auto"/>
      </w:divBdr>
      <w:divsChild>
        <w:div w:id="2072380946">
          <w:marLeft w:val="0"/>
          <w:marRight w:val="0"/>
          <w:marTop w:val="0"/>
          <w:marBottom w:val="0"/>
          <w:divBdr>
            <w:top w:val="none" w:sz="0" w:space="0" w:color="auto"/>
            <w:left w:val="none" w:sz="0" w:space="0" w:color="auto"/>
            <w:bottom w:val="none" w:sz="0" w:space="0" w:color="auto"/>
            <w:right w:val="none" w:sz="0" w:space="0" w:color="auto"/>
          </w:divBdr>
          <w:divsChild>
            <w:div w:id="2072380951">
              <w:marLeft w:val="0"/>
              <w:marRight w:val="0"/>
              <w:marTop w:val="0"/>
              <w:marBottom w:val="0"/>
              <w:divBdr>
                <w:top w:val="none" w:sz="0" w:space="0" w:color="auto"/>
                <w:left w:val="none" w:sz="0" w:space="0" w:color="auto"/>
                <w:bottom w:val="none" w:sz="0" w:space="0" w:color="auto"/>
                <w:right w:val="none" w:sz="0" w:space="0" w:color="auto"/>
              </w:divBdr>
              <w:divsChild>
                <w:div w:id="2072380949">
                  <w:marLeft w:val="0"/>
                  <w:marRight w:val="0"/>
                  <w:marTop w:val="0"/>
                  <w:marBottom w:val="0"/>
                  <w:divBdr>
                    <w:top w:val="none" w:sz="0" w:space="0" w:color="auto"/>
                    <w:left w:val="none" w:sz="0" w:space="0" w:color="auto"/>
                    <w:bottom w:val="none" w:sz="0" w:space="0" w:color="auto"/>
                    <w:right w:val="none" w:sz="0" w:space="0" w:color="auto"/>
                  </w:divBdr>
                  <w:divsChild>
                    <w:div w:id="2072380964">
                      <w:marLeft w:val="0"/>
                      <w:marRight w:val="0"/>
                      <w:marTop w:val="0"/>
                      <w:marBottom w:val="0"/>
                      <w:divBdr>
                        <w:top w:val="none" w:sz="0" w:space="0" w:color="auto"/>
                        <w:left w:val="none" w:sz="0" w:space="0" w:color="auto"/>
                        <w:bottom w:val="none" w:sz="0" w:space="0" w:color="auto"/>
                        <w:right w:val="none" w:sz="0" w:space="0" w:color="auto"/>
                      </w:divBdr>
                      <w:divsChild>
                        <w:div w:id="2072380955">
                          <w:marLeft w:val="0"/>
                          <w:marRight w:val="0"/>
                          <w:marTop w:val="0"/>
                          <w:marBottom w:val="0"/>
                          <w:divBdr>
                            <w:top w:val="none" w:sz="0" w:space="0" w:color="auto"/>
                            <w:left w:val="none" w:sz="0" w:space="0" w:color="auto"/>
                            <w:bottom w:val="none" w:sz="0" w:space="0" w:color="auto"/>
                            <w:right w:val="none" w:sz="0" w:space="0" w:color="auto"/>
                          </w:divBdr>
                          <w:divsChild>
                            <w:div w:id="2072380948">
                              <w:marLeft w:val="0"/>
                              <w:marRight w:val="0"/>
                              <w:marTop w:val="0"/>
                              <w:marBottom w:val="0"/>
                              <w:divBdr>
                                <w:top w:val="none" w:sz="0" w:space="0" w:color="auto"/>
                                <w:left w:val="none" w:sz="0" w:space="0" w:color="auto"/>
                                <w:bottom w:val="none" w:sz="0" w:space="0" w:color="auto"/>
                                <w:right w:val="none" w:sz="0" w:space="0" w:color="auto"/>
                              </w:divBdr>
                              <w:divsChild>
                                <w:div w:id="2072380956">
                                  <w:marLeft w:val="0"/>
                                  <w:marRight w:val="0"/>
                                  <w:marTop w:val="0"/>
                                  <w:marBottom w:val="0"/>
                                  <w:divBdr>
                                    <w:top w:val="none" w:sz="0" w:space="0" w:color="auto"/>
                                    <w:left w:val="none" w:sz="0" w:space="0" w:color="auto"/>
                                    <w:bottom w:val="none" w:sz="0" w:space="0" w:color="auto"/>
                                    <w:right w:val="none" w:sz="0" w:space="0" w:color="auto"/>
                                  </w:divBdr>
                                  <w:divsChild>
                                    <w:div w:id="2072380959">
                                      <w:marLeft w:val="0"/>
                                      <w:marRight w:val="0"/>
                                      <w:marTop w:val="0"/>
                                      <w:marBottom w:val="0"/>
                                      <w:divBdr>
                                        <w:top w:val="none" w:sz="0" w:space="0" w:color="auto"/>
                                        <w:left w:val="none" w:sz="0" w:space="0" w:color="auto"/>
                                        <w:bottom w:val="none" w:sz="0" w:space="0" w:color="auto"/>
                                        <w:right w:val="none" w:sz="0" w:space="0" w:color="auto"/>
                                      </w:divBdr>
                                      <w:divsChild>
                                        <w:div w:id="2072380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TotalTime>
  <Pages>7</Pages>
  <Words>2163</Words>
  <Characters>12331</Characters>
  <Application>Microsoft Office Outlook</Application>
  <DocSecurity>0</DocSecurity>
  <Lines>0</Lines>
  <Paragraphs>0</Paragraphs>
  <ScaleCrop>false</ScaleCrop>
  <Company>Säteilyturvakeskus</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Genetic hypersensitivity to ionizing radiation  ESA 22</dc:title>
  <dc:subject/>
  <dc:creator>Eeva</dc:creator>
  <cp:keywords/>
  <dc:description/>
  <cp:lastModifiedBy>kirsty.mccoll</cp:lastModifiedBy>
  <cp:revision>2</cp:revision>
  <cp:lastPrinted>2012-03-22T07:31:00Z</cp:lastPrinted>
  <dcterms:created xsi:type="dcterms:W3CDTF">2012-05-07T09:11:00Z</dcterms:created>
  <dcterms:modified xsi:type="dcterms:W3CDTF">2012-05-07T09:11:00Z</dcterms:modified>
</cp:coreProperties>
</file>