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0A9" w:rsidRPr="00E650A9" w:rsidRDefault="000B473D" w:rsidP="00E650A9">
      <w:pPr>
        <w:pStyle w:val="Szvegtrzs"/>
        <w:jc w:val="center"/>
        <w:rPr>
          <w:sz w:val="28"/>
          <w:szCs w:val="28"/>
          <w:lang w:val="en-GB"/>
        </w:rPr>
      </w:pPr>
      <w:r w:rsidRPr="00425CB1">
        <w:rPr>
          <w:sz w:val="28"/>
          <w:szCs w:val="28"/>
          <w:lang w:val="en-GB"/>
        </w:rPr>
        <w:t xml:space="preserve">Possible Consequences of Inhomogeneous </w:t>
      </w:r>
      <w:proofErr w:type="spellStart"/>
      <w:r w:rsidRPr="00425CB1">
        <w:rPr>
          <w:sz w:val="28"/>
          <w:szCs w:val="28"/>
          <w:lang w:val="en-GB"/>
        </w:rPr>
        <w:t>Suborgan</w:t>
      </w:r>
      <w:proofErr w:type="spellEnd"/>
      <w:r w:rsidRPr="00425CB1">
        <w:rPr>
          <w:sz w:val="28"/>
          <w:szCs w:val="28"/>
          <w:lang w:val="en-GB"/>
        </w:rPr>
        <w:t xml:space="preserve"> Distribution of Dose and the Linear No-Threshold Dose-Effect Relationship</w:t>
      </w:r>
    </w:p>
    <w:p w:rsidR="00E650A9" w:rsidRDefault="00E650A9" w:rsidP="00E650A9">
      <w:pPr>
        <w:pStyle w:val="Szvegtrzs"/>
        <w:jc w:val="center"/>
        <w:rPr>
          <w:lang w:val="en-GB"/>
        </w:rPr>
      </w:pPr>
    </w:p>
    <w:p w:rsidR="000B473D" w:rsidRPr="00E650A9" w:rsidRDefault="000B473D" w:rsidP="00E650A9">
      <w:pPr>
        <w:pStyle w:val="Szvegtrzs"/>
        <w:jc w:val="center"/>
        <w:rPr>
          <w:lang w:val="en-GB"/>
        </w:rPr>
      </w:pPr>
      <w:proofErr w:type="spellStart"/>
      <w:r w:rsidRPr="00425CB1">
        <w:rPr>
          <w:lang w:val="en-GB"/>
        </w:rPr>
        <w:t>Balázs</w:t>
      </w:r>
      <w:proofErr w:type="spellEnd"/>
      <w:r w:rsidRPr="00425CB1">
        <w:rPr>
          <w:lang w:val="en-GB"/>
        </w:rPr>
        <w:t xml:space="preserve"> G. </w:t>
      </w:r>
      <w:proofErr w:type="spellStart"/>
      <w:r w:rsidRPr="00425CB1">
        <w:rPr>
          <w:lang w:val="en-GB"/>
        </w:rPr>
        <w:t>Madas</w:t>
      </w:r>
      <w:proofErr w:type="spellEnd"/>
      <w:r w:rsidRPr="00425CB1">
        <w:rPr>
          <w:lang w:val="en-GB"/>
        </w:rPr>
        <w:t xml:space="preserve">, </w:t>
      </w:r>
      <w:proofErr w:type="spellStart"/>
      <w:r w:rsidRPr="00425CB1">
        <w:rPr>
          <w:lang w:val="en-GB"/>
        </w:rPr>
        <w:t>Imre</w:t>
      </w:r>
      <w:proofErr w:type="spellEnd"/>
      <w:r w:rsidRPr="00425CB1">
        <w:rPr>
          <w:lang w:val="en-GB"/>
        </w:rPr>
        <w:t xml:space="preserve"> </w:t>
      </w:r>
      <w:proofErr w:type="spellStart"/>
      <w:r w:rsidRPr="00425CB1">
        <w:rPr>
          <w:lang w:val="en-GB"/>
        </w:rPr>
        <w:t>Balásházy</w:t>
      </w:r>
      <w:proofErr w:type="spellEnd"/>
    </w:p>
    <w:p w:rsidR="00E650A9" w:rsidRDefault="00E650A9" w:rsidP="000B473D">
      <w:pPr>
        <w:pStyle w:val="Szvegtrzs"/>
        <w:jc w:val="center"/>
        <w:rPr>
          <w:b w:val="0"/>
          <w:lang w:val="en-GB"/>
        </w:rPr>
      </w:pPr>
    </w:p>
    <w:p w:rsidR="000B473D" w:rsidRPr="00425CB1" w:rsidRDefault="000B473D" w:rsidP="000B473D">
      <w:pPr>
        <w:pStyle w:val="Szvegtrzs"/>
        <w:jc w:val="center"/>
        <w:rPr>
          <w:b w:val="0"/>
          <w:lang w:val="en-GB"/>
        </w:rPr>
      </w:pPr>
      <w:r w:rsidRPr="00425CB1">
        <w:rPr>
          <w:b w:val="0"/>
          <w:lang w:val="en-GB"/>
        </w:rPr>
        <w:t>Centre for Energy Research, Hungarian Academy of Sciences</w:t>
      </w:r>
    </w:p>
    <w:p w:rsidR="000B473D" w:rsidRPr="00425CB1" w:rsidRDefault="000B473D" w:rsidP="00E650A9">
      <w:pPr>
        <w:pStyle w:val="Szvegtrzs"/>
        <w:jc w:val="center"/>
        <w:rPr>
          <w:b w:val="0"/>
          <w:lang w:val="en-GB"/>
        </w:rPr>
      </w:pPr>
      <w:r w:rsidRPr="00425CB1">
        <w:rPr>
          <w:b w:val="0"/>
          <w:lang w:val="en-GB"/>
        </w:rPr>
        <w:t xml:space="preserve">H-1121 Budapest, </w:t>
      </w:r>
      <w:proofErr w:type="spellStart"/>
      <w:r w:rsidRPr="00425CB1">
        <w:rPr>
          <w:b w:val="0"/>
          <w:lang w:val="en-GB"/>
        </w:rPr>
        <w:t>Konkoly-Thege</w:t>
      </w:r>
      <w:proofErr w:type="spellEnd"/>
      <w:r w:rsidRPr="00425CB1">
        <w:rPr>
          <w:b w:val="0"/>
          <w:lang w:val="en-GB"/>
        </w:rPr>
        <w:t xml:space="preserve"> </w:t>
      </w:r>
      <w:proofErr w:type="spellStart"/>
      <w:r w:rsidRPr="00425CB1">
        <w:rPr>
          <w:b w:val="0"/>
          <w:lang w:val="en-GB"/>
        </w:rPr>
        <w:t>Miklós</w:t>
      </w:r>
      <w:proofErr w:type="spellEnd"/>
      <w:r w:rsidRPr="00425CB1">
        <w:rPr>
          <w:b w:val="0"/>
          <w:lang w:val="en-GB"/>
        </w:rPr>
        <w:t xml:space="preserve"> </w:t>
      </w:r>
      <w:proofErr w:type="spellStart"/>
      <w:r w:rsidRPr="00425CB1">
        <w:rPr>
          <w:b w:val="0"/>
          <w:lang w:val="en-GB"/>
        </w:rPr>
        <w:t>út</w:t>
      </w:r>
      <w:proofErr w:type="spellEnd"/>
      <w:r w:rsidRPr="00425CB1">
        <w:rPr>
          <w:b w:val="0"/>
          <w:lang w:val="en-GB"/>
        </w:rPr>
        <w:t xml:space="preserve"> 29-33.</w:t>
      </w:r>
    </w:p>
    <w:p w:rsidR="00E650A9" w:rsidRDefault="00E650A9" w:rsidP="000B473D">
      <w:pPr>
        <w:pStyle w:val="Szvegtrzs"/>
        <w:rPr>
          <w:sz w:val="20"/>
          <w:szCs w:val="20"/>
          <w:lang w:val="en-GB"/>
        </w:rPr>
      </w:pPr>
    </w:p>
    <w:p w:rsidR="000B473D" w:rsidRPr="00E650A9" w:rsidRDefault="000B473D" w:rsidP="00E650A9">
      <w:pPr>
        <w:pStyle w:val="Szvegtrzs"/>
        <w:spacing w:line="240" w:lineRule="auto"/>
        <w:rPr>
          <w:b w:val="0"/>
          <w:sz w:val="20"/>
          <w:szCs w:val="20"/>
          <w:lang w:val="en-GB"/>
        </w:rPr>
      </w:pPr>
      <w:r w:rsidRPr="00E650A9">
        <w:rPr>
          <w:sz w:val="20"/>
          <w:szCs w:val="20"/>
          <w:lang w:val="en-GB"/>
        </w:rPr>
        <w:t xml:space="preserve">Abstract. </w:t>
      </w:r>
      <w:r w:rsidR="00DA1F2D" w:rsidRPr="00E650A9">
        <w:rPr>
          <w:b w:val="0"/>
          <w:sz w:val="20"/>
          <w:szCs w:val="20"/>
          <w:lang w:val="en-GB"/>
        </w:rPr>
        <w:t>The current system of radiation protection is based on the assumption that the risk of stochastic effects of radiation exposure is directly proportional to effective dose. Effective dose being the weighted sum of absorbed organ doses is independent of the spatial dose distribution within the organs. However, experiments in radiation biology pointed out on such phenomena, which may play a role in carcinogenesis and other processes leading to stochastic effects, but their extents are non-linear function of absorbed dose.</w:t>
      </w:r>
      <w:r w:rsidR="00DA1F2D" w:rsidRPr="00E650A9">
        <w:rPr>
          <w:b w:val="0"/>
          <w:sz w:val="20"/>
          <w:szCs w:val="20"/>
          <w:lang w:val="en-GB"/>
        </w:rPr>
        <w:t xml:space="preserve"> </w:t>
      </w:r>
      <w:r w:rsidR="00DA1F2D" w:rsidRPr="00E650A9">
        <w:rPr>
          <w:b w:val="0"/>
          <w:sz w:val="20"/>
          <w:szCs w:val="20"/>
          <w:lang w:val="en-GB"/>
        </w:rPr>
        <w:t xml:space="preserve">These non-linear phenomena observed even in microscopic scale suggest that the risk of stochastic effects induced by ionizing radiation depends even on the </w:t>
      </w:r>
      <w:proofErr w:type="spellStart"/>
      <w:r w:rsidR="00DA1F2D" w:rsidRPr="00E650A9">
        <w:rPr>
          <w:b w:val="0"/>
          <w:sz w:val="20"/>
          <w:szCs w:val="20"/>
          <w:lang w:val="en-GB"/>
        </w:rPr>
        <w:t>suborgan</w:t>
      </w:r>
      <w:proofErr w:type="spellEnd"/>
      <w:r w:rsidR="00DA1F2D" w:rsidRPr="00E650A9">
        <w:rPr>
          <w:b w:val="0"/>
          <w:sz w:val="20"/>
          <w:szCs w:val="20"/>
          <w:lang w:val="en-GB"/>
        </w:rPr>
        <w:t xml:space="preserve"> distribution of absorbed dose.</w:t>
      </w:r>
      <w:r w:rsidR="00DA1F2D" w:rsidRPr="00E650A9">
        <w:rPr>
          <w:b w:val="0"/>
          <w:sz w:val="20"/>
          <w:szCs w:val="20"/>
          <w:lang w:val="en-GB"/>
        </w:rPr>
        <w:t xml:space="preserve"> </w:t>
      </w:r>
      <w:r w:rsidR="00DA1F2D" w:rsidRPr="00E650A9">
        <w:rPr>
          <w:b w:val="0"/>
          <w:sz w:val="20"/>
          <w:szCs w:val="20"/>
          <w:lang w:val="en-GB"/>
        </w:rPr>
        <w:t xml:space="preserve">In the present study, an alternative method of calculation of effective dose is introduced, which offer the opportunity for the consideration of </w:t>
      </w:r>
      <w:proofErr w:type="spellStart"/>
      <w:r w:rsidR="00DA1F2D" w:rsidRPr="00E650A9">
        <w:rPr>
          <w:b w:val="0"/>
          <w:sz w:val="20"/>
          <w:szCs w:val="20"/>
          <w:lang w:val="en-GB"/>
        </w:rPr>
        <w:t>suborgan</w:t>
      </w:r>
      <w:proofErr w:type="spellEnd"/>
      <w:r w:rsidR="00DA1F2D" w:rsidRPr="00E650A9">
        <w:rPr>
          <w:b w:val="0"/>
          <w:sz w:val="20"/>
          <w:szCs w:val="20"/>
          <w:lang w:val="en-GB"/>
        </w:rPr>
        <w:t xml:space="preserve"> inhomogeneity of exposure. It is also investigated, how microscopic nonlinearities may manifest at macroscopic level in case of homogeneous and inhomogeneous exposures.</w:t>
      </w:r>
      <w:r w:rsidR="00DA1F2D" w:rsidRPr="00E650A9">
        <w:rPr>
          <w:b w:val="0"/>
          <w:sz w:val="20"/>
          <w:szCs w:val="20"/>
          <w:lang w:val="en-GB"/>
        </w:rPr>
        <w:t xml:space="preserve"> </w:t>
      </w:r>
      <w:r w:rsidR="00E650A9" w:rsidRPr="00E650A9">
        <w:rPr>
          <w:b w:val="0"/>
          <w:sz w:val="20"/>
          <w:szCs w:val="20"/>
          <w:lang w:val="en-GB"/>
        </w:rPr>
        <w:t xml:space="preserve">It was presented that </w:t>
      </w:r>
      <w:r w:rsidR="00E650A9" w:rsidRPr="00E650A9">
        <w:rPr>
          <w:b w:val="0"/>
          <w:sz w:val="20"/>
          <w:szCs w:val="20"/>
          <w:lang w:val="en-GB"/>
        </w:rPr>
        <w:t>if alternative effective dose is l</w:t>
      </w:r>
      <w:r w:rsidR="00E650A9" w:rsidRPr="00E650A9">
        <w:rPr>
          <w:b w:val="0"/>
          <w:sz w:val="20"/>
          <w:szCs w:val="20"/>
          <w:lang w:val="en-GB"/>
        </w:rPr>
        <w:t>inear function of absorbed dose</w:t>
      </w:r>
      <w:r w:rsidR="00E650A9" w:rsidRPr="00E650A9">
        <w:rPr>
          <w:b w:val="0"/>
          <w:sz w:val="20"/>
          <w:szCs w:val="20"/>
          <w:lang w:val="en-GB"/>
        </w:rPr>
        <w:t xml:space="preserve"> then it is independent on the </w:t>
      </w:r>
      <w:proofErr w:type="spellStart"/>
      <w:r w:rsidR="00E650A9" w:rsidRPr="00E650A9">
        <w:rPr>
          <w:b w:val="0"/>
          <w:sz w:val="20"/>
          <w:szCs w:val="20"/>
          <w:lang w:val="en-GB"/>
        </w:rPr>
        <w:t>suborgan</w:t>
      </w:r>
      <w:proofErr w:type="spellEnd"/>
      <w:r w:rsidR="00E650A9" w:rsidRPr="00E650A9">
        <w:rPr>
          <w:b w:val="0"/>
          <w:sz w:val="20"/>
          <w:szCs w:val="20"/>
          <w:lang w:val="en-GB"/>
        </w:rPr>
        <w:t xml:space="preserve"> dose distribution.</w:t>
      </w:r>
      <w:r w:rsidR="00E650A9" w:rsidRPr="00E650A9">
        <w:rPr>
          <w:sz w:val="20"/>
          <w:szCs w:val="20"/>
          <w:lang w:val="en-GB"/>
        </w:rPr>
        <w:t xml:space="preserve"> </w:t>
      </w:r>
      <w:r w:rsidR="00DA1F2D" w:rsidRPr="00E650A9">
        <w:rPr>
          <w:b w:val="0"/>
          <w:sz w:val="20"/>
          <w:szCs w:val="20"/>
          <w:lang w:val="en-GB"/>
        </w:rPr>
        <w:t>It was shown that inhomogeneous exposures result in lower significance of nonlinearity than homogeneous exposures. If besides the inhomogeneous a smaller homogeneous exposure is also considered, the significance of low dose nonlinearity seems to be even smaller. Based on the present study, it is suggested that nonlinearity in low dose effects may be less significant in case of inhaled radon progeny than in case of radiation sources producing homogeneous exposures. However, in case of inhomogeneous exposures other biological mechanisms may arise in the mostly exposed parts of the organs, which can significantly influence the risk.</w:t>
      </w:r>
    </w:p>
    <w:p w:rsidR="00E650A9" w:rsidRDefault="00E650A9" w:rsidP="00E650A9">
      <w:pPr>
        <w:pStyle w:val="Szvegtrzs"/>
        <w:spacing w:line="240" w:lineRule="auto"/>
        <w:rPr>
          <w:sz w:val="20"/>
          <w:szCs w:val="20"/>
          <w:lang w:val="en-GB"/>
        </w:rPr>
      </w:pPr>
    </w:p>
    <w:p w:rsidR="000B473D" w:rsidRPr="00425CB1" w:rsidRDefault="000B473D" w:rsidP="00E650A9">
      <w:pPr>
        <w:pStyle w:val="Szvegtrzs"/>
        <w:spacing w:line="240" w:lineRule="auto"/>
        <w:rPr>
          <w:b w:val="0"/>
          <w:sz w:val="20"/>
          <w:szCs w:val="20"/>
          <w:lang w:val="en-GB"/>
        </w:rPr>
      </w:pPr>
      <w:proofErr w:type="gramStart"/>
      <w:r w:rsidRPr="00425CB1">
        <w:rPr>
          <w:sz w:val="20"/>
          <w:szCs w:val="20"/>
          <w:lang w:val="en-GB"/>
        </w:rPr>
        <w:t>Key Words.</w:t>
      </w:r>
      <w:proofErr w:type="gramEnd"/>
      <w:r w:rsidRPr="00425CB1">
        <w:rPr>
          <w:sz w:val="20"/>
          <w:szCs w:val="20"/>
          <w:lang w:val="en-GB"/>
        </w:rPr>
        <w:t xml:space="preserve"> </w:t>
      </w:r>
      <w:proofErr w:type="gramStart"/>
      <w:r w:rsidR="0095477B" w:rsidRPr="00425CB1">
        <w:rPr>
          <w:b w:val="0"/>
          <w:sz w:val="20"/>
          <w:szCs w:val="20"/>
          <w:lang w:val="en-GB"/>
        </w:rPr>
        <w:t>radon</w:t>
      </w:r>
      <w:proofErr w:type="gramEnd"/>
      <w:r w:rsidR="0095477B" w:rsidRPr="00425CB1">
        <w:rPr>
          <w:b w:val="0"/>
          <w:sz w:val="20"/>
          <w:szCs w:val="20"/>
          <w:lang w:val="en-GB"/>
        </w:rPr>
        <w:t xml:space="preserve"> progeny, inhomogeneous exposure, effective dose,</w:t>
      </w:r>
      <w:r w:rsidR="00DE7211" w:rsidRPr="00425CB1">
        <w:rPr>
          <w:b w:val="0"/>
          <w:sz w:val="20"/>
          <w:szCs w:val="20"/>
          <w:lang w:val="en-GB"/>
        </w:rPr>
        <w:t xml:space="preserve"> </w:t>
      </w:r>
      <w:r w:rsidR="0095477B" w:rsidRPr="00425CB1">
        <w:rPr>
          <w:b w:val="0"/>
          <w:sz w:val="20"/>
          <w:szCs w:val="20"/>
          <w:lang w:val="en-GB"/>
        </w:rPr>
        <w:t>LNT assumption</w:t>
      </w:r>
    </w:p>
    <w:p w:rsidR="007E0424" w:rsidRPr="00A26F20" w:rsidRDefault="000B473D" w:rsidP="00E650A9">
      <w:pPr>
        <w:pStyle w:val="Cmsor1"/>
        <w:spacing w:line="240" w:lineRule="auto"/>
        <w:rPr>
          <w:sz w:val="24"/>
          <w:szCs w:val="24"/>
        </w:rPr>
      </w:pPr>
      <w:r w:rsidRPr="00A26F20">
        <w:rPr>
          <w:sz w:val="24"/>
          <w:szCs w:val="24"/>
        </w:rPr>
        <w:lastRenderedPageBreak/>
        <w:t>Introduction</w:t>
      </w:r>
    </w:p>
    <w:p w:rsidR="00425CB1" w:rsidRPr="00A26F20" w:rsidRDefault="007D37A2" w:rsidP="00E650A9">
      <w:pPr>
        <w:spacing w:line="240" w:lineRule="auto"/>
        <w:rPr>
          <w:sz w:val="22"/>
          <w:szCs w:val="22"/>
        </w:rPr>
      </w:pPr>
      <w:r w:rsidRPr="00A26F20">
        <w:rPr>
          <w:sz w:val="22"/>
          <w:szCs w:val="22"/>
        </w:rPr>
        <w:t xml:space="preserve">The current system of radiation protection is based on the assumption that the risk of stochastic effects of radiation exposure is directly proportional to effective dose. Effective dose being the weighted sum of absorbed organ doses is independent of the spatial dose distribution within the organs. However, experiments </w:t>
      </w:r>
      <w:r w:rsidR="00425CB1" w:rsidRPr="00A26F20">
        <w:rPr>
          <w:sz w:val="22"/>
          <w:szCs w:val="22"/>
        </w:rPr>
        <w:t xml:space="preserve">in radiation biology pointed out on such phenomena, which may play a role in carcinogenesis and other processes leading to stochastic effects, but their extents </w:t>
      </w:r>
      <w:r w:rsidR="00C461E4" w:rsidRPr="00A26F20">
        <w:rPr>
          <w:sz w:val="22"/>
          <w:szCs w:val="22"/>
        </w:rPr>
        <w:t xml:space="preserve">are </w:t>
      </w:r>
      <w:r w:rsidR="00425CB1" w:rsidRPr="00A26F20">
        <w:rPr>
          <w:sz w:val="22"/>
          <w:szCs w:val="22"/>
        </w:rPr>
        <w:t>non-linear function of absorbed dose. Typical example</w:t>
      </w:r>
      <w:r w:rsidR="00100BD7" w:rsidRPr="00A26F20">
        <w:rPr>
          <w:sz w:val="22"/>
          <w:szCs w:val="22"/>
        </w:rPr>
        <w:t>s for such phenomena are</w:t>
      </w:r>
      <w:r w:rsidR="00425CB1" w:rsidRPr="00A26F20">
        <w:rPr>
          <w:sz w:val="22"/>
          <w:szCs w:val="22"/>
        </w:rPr>
        <w:t xml:space="preserve"> bystander effect</w:t>
      </w:r>
      <w:r w:rsidR="00100BD7" w:rsidRPr="00A26F20">
        <w:rPr>
          <w:sz w:val="22"/>
          <w:szCs w:val="22"/>
        </w:rPr>
        <w:t xml:space="preserve">s </w:t>
      </w:r>
      <w:r w:rsidR="008D4873" w:rsidRPr="00A26F20">
        <w:rPr>
          <w:sz w:val="22"/>
          <w:szCs w:val="22"/>
        </w:rPr>
        <w:fldChar w:fldCharType="begin">
          <w:fldData xml:space="preserve">PEVuZE5vdGU+PENpdGU+PEF1dGhvcj5CbHl0aDwvQXV0aG9yPjxZZWFyPjIwMTE8L1llYXI+PElE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</w:fldData>
        </w:fldChar>
      </w:r>
      <w:r w:rsidR="008D4873" w:rsidRPr="00A26F20">
        <w:rPr>
          <w:sz w:val="22"/>
          <w:szCs w:val="22"/>
        </w:rPr>
        <w:instrText xml:space="preserve"> ADDIN EN.CITE </w:instrText>
      </w:r>
      <w:r w:rsidR="008D4873" w:rsidRPr="00A26F20">
        <w:rPr>
          <w:sz w:val="22"/>
          <w:szCs w:val="22"/>
        </w:rPr>
        <w:fldChar w:fldCharType="begin">
          <w:fldData xml:space="preserve">PEVuZE5vdGU+PENpdGU+PEF1dGhvcj5CbHl0aDwvQXV0aG9yPjxZZWFyPjIwMTE8L1llYXI+PElE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</w:fldData>
        </w:fldChar>
      </w:r>
      <w:r w:rsidR="008D4873" w:rsidRPr="00A26F20">
        <w:rPr>
          <w:sz w:val="22"/>
          <w:szCs w:val="22"/>
        </w:rPr>
        <w:instrText xml:space="preserve"> ADDIN EN.CITE.DATA </w:instrText>
      </w:r>
      <w:r w:rsidR="008D4873" w:rsidRPr="00A26F20">
        <w:rPr>
          <w:sz w:val="22"/>
          <w:szCs w:val="22"/>
        </w:rPr>
      </w:r>
      <w:r w:rsidR="008D4873" w:rsidRPr="00A26F20">
        <w:rPr>
          <w:sz w:val="22"/>
          <w:szCs w:val="22"/>
        </w:rPr>
        <w:fldChar w:fldCharType="end"/>
      </w:r>
      <w:r w:rsidR="008D4873" w:rsidRPr="00A26F20">
        <w:rPr>
          <w:sz w:val="22"/>
          <w:szCs w:val="22"/>
        </w:rPr>
      </w:r>
      <w:r w:rsidR="008D4873" w:rsidRPr="00A26F20">
        <w:rPr>
          <w:sz w:val="22"/>
          <w:szCs w:val="22"/>
        </w:rPr>
        <w:fldChar w:fldCharType="separate"/>
      </w:r>
      <w:r w:rsidR="008D4873" w:rsidRPr="00A26F20">
        <w:rPr>
          <w:noProof/>
          <w:sz w:val="22"/>
          <w:szCs w:val="22"/>
        </w:rPr>
        <w:t>(Blyth and Sykes, 2011)</w:t>
      </w:r>
      <w:r w:rsidR="008D4873" w:rsidRPr="00A26F20">
        <w:rPr>
          <w:sz w:val="22"/>
          <w:szCs w:val="22"/>
        </w:rPr>
        <w:fldChar w:fldCharType="end"/>
      </w:r>
      <w:r w:rsidR="00425CB1" w:rsidRPr="00A26F20">
        <w:rPr>
          <w:sz w:val="22"/>
          <w:szCs w:val="22"/>
        </w:rPr>
        <w:t>, adaptive r</w:t>
      </w:r>
      <w:r w:rsidR="00100BD7" w:rsidRPr="00A26F20">
        <w:rPr>
          <w:sz w:val="22"/>
          <w:szCs w:val="22"/>
        </w:rPr>
        <w:t>esponse</w:t>
      </w:r>
      <w:r w:rsidR="008D4873" w:rsidRPr="00A26F20">
        <w:rPr>
          <w:sz w:val="22"/>
          <w:szCs w:val="22"/>
        </w:rPr>
        <w:t xml:space="preserve"> </w:t>
      </w:r>
      <w:r w:rsidR="008D4873" w:rsidRPr="00A26F20">
        <w:rPr>
          <w:sz w:val="22"/>
          <w:szCs w:val="22"/>
        </w:rPr>
        <w:fldChar w:fldCharType="begin"/>
      </w:r>
      <w:r w:rsidR="008D4873" w:rsidRPr="00A26F20">
        <w:rPr>
          <w:sz w:val="22"/>
          <w:szCs w:val="22"/>
        </w:rPr>
        <w:instrText xml:space="preserve"> ADDIN EN.CITE &lt;EndNote&gt;&lt;Cite&gt;&lt;Author&gt;Tapio&lt;/Author&gt;&lt;Year&gt;2007&lt;/Year&gt;&lt;IDText&gt;Radioadaptive response revisited&lt;/IDText&gt;&lt;DisplayText&gt;(Tapio and Jacob, 2007)&lt;/DisplayText&gt;&lt;record&gt;&lt;dates&gt;&lt;pub-dates&gt;&lt;date&gt;Mar&lt;/date&gt;&lt;/pub-dates&gt;&lt;year&gt;2007&lt;/year&gt;&lt;/dates&gt;&lt;keywords&gt;&lt;keyword&gt;INDUCED GENOMIC INSTABILITY&lt;/keyword&gt;&lt;keyword&gt;INDUCED ADAPTIVE RESPONSE&lt;/keyword&gt;&lt;keyword&gt;LOW-DOSE&lt;/keyword&gt;&lt;keyword&gt;HYPERSENSITIVITY&lt;/keyword&gt;&lt;keyword&gt;HIGH BACKGROUND-RADIATION&lt;/keyword&gt;&lt;keyword&gt;CHERNOBYL ACCIDENT EXHIBIT&lt;/keyword&gt;&lt;keyword&gt;&lt;/keyword&gt;&lt;keyword&gt;TRANSFORMATION IN-VITRO&lt;/keyword&gt;&lt;keyword&gt;TRP53 HETEROZYGOUS MICE&lt;/keyword&gt;&lt;keyword&gt;DNA METHYLATION&lt;/keyword&gt;&lt;keyword&gt;CHANGES&lt;/keyword&gt;&lt;keyword&gt;DOUBLE-STRAND BREAKS&lt;/keyword&gt;&lt;keyword&gt;HUMAN-LYMPHOCYTES&lt;/keyword&gt;&lt;/keywords&gt;&lt;urls&gt;&lt;related-urls&gt;&lt;url&gt;&amp;lt;Go to ISI&amp;gt;://WOS:000245749400001&lt;/url&gt;&lt;/related-urls&gt;&lt;/urls&gt;&lt;isbn&gt;0301-634X&lt;/isbn&gt;&lt;work-type&gt;Review&lt;/work-type&gt;&lt;titles&gt;&lt;title&gt;Radioadaptive response revisited&lt;/title&gt;&lt;secondary-title&gt;Radiation and Environmental Biophysics&lt;/secondary-title&gt;&lt;alt-title&gt;Radiat. Environ. Biophys.&lt;/alt-title&gt;&lt;/titles&gt;&lt;pages&gt;1-12&lt;/pages&gt;&lt;number&gt;1&lt;/number&gt;&lt;contributors&gt;&lt;authors&gt;&lt;author&gt;Tapio, S.&lt;/author&gt;&lt;author&gt;Jacob, V.&lt;/author&gt;&lt;/authors&gt;&lt;/contributors&gt;&lt;language&gt;English&lt;/language&gt;&lt;added-date format="utc"&gt;1331722719&lt;/added-date&gt;&lt;ref-type name="Journal Article"&gt;17&lt;/ref-type&gt;&lt;auth-address&gt;Fed Off Radiat Protect, Dept Radiat Protect &amp;amp; Hlth, D-85764 Neuherberg, Germany. GSF Nat Res Ctr Environm &amp;amp; Hlth, Inst Radiat Protect, D-85764 Neuherberg, Germany.&amp;#xD;Tapio, S (reprint author), Fed Off Radiat Protect, Dept Radiat Protect &amp;amp; Hlth, Ingolstaedter Landstr 1, D-85764 Neuherberg, Germany&amp;#xD;stapio@bfs.de&lt;/auth-address&gt;&lt;rec-number&gt;296&lt;/rec-number&gt;&lt;last-updated-date format="utc"&gt;1331722719&lt;/last-updated-date&gt;&lt;accession-num&gt;WOS:000245749400001&lt;/accession-num&gt;&lt;electronic-resource-num&gt;10.1007/s00411-006-0078-8&lt;/electronic-resource-num&gt;&lt;volume&gt;46&lt;/volume&gt;&lt;/record&gt;&lt;/Cite&gt;&lt;/EndNote&gt;</w:instrText>
      </w:r>
      <w:r w:rsidR="008D4873" w:rsidRPr="00A26F20">
        <w:rPr>
          <w:sz w:val="22"/>
          <w:szCs w:val="22"/>
        </w:rPr>
        <w:fldChar w:fldCharType="separate"/>
      </w:r>
      <w:r w:rsidR="008D4873" w:rsidRPr="00A26F20">
        <w:rPr>
          <w:noProof/>
          <w:sz w:val="22"/>
          <w:szCs w:val="22"/>
        </w:rPr>
        <w:t>(Tapio and Jacob, 2007)</w:t>
      </w:r>
      <w:r w:rsidR="008D4873" w:rsidRPr="00A26F20">
        <w:rPr>
          <w:sz w:val="22"/>
          <w:szCs w:val="22"/>
        </w:rPr>
        <w:fldChar w:fldCharType="end"/>
      </w:r>
      <w:r w:rsidR="00100BD7" w:rsidRPr="00A26F20">
        <w:rPr>
          <w:sz w:val="22"/>
          <w:szCs w:val="22"/>
        </w:rPr>
        <w:t>, and genomic instability</w:t>
      </w:r>
      <w:r w:rsidR="008D4873" w:rsidRPr="00A26F20">
        <w:rPr>
          <w:sz w:val="22"/>
          <w:szCs w:val="22"/>
        </w:rPr>
        <w:t xml:space="preserve"> </w:t>
      </w:r>
      <w:r w:rsidR="008D4873" w:rsidRPr="00A26F20">
        <w:rPr>
          <w:sz w:val="22"/>
          <w:szCs w:val="22"/>
        </w:rPr>
        <w:fldChar w:fldCharType="begin"/>
      </w:r>
      <w:r w:rsidR="008D4873" w:rsidRPr="00A26F20">
        <w:rPr>
          <w:sz w:val="22"/>
          <w:szCs w:val="22"/>
        </w:rPr>
        <w:instrText xml:space="preserve"> ADDIN EN.CITE &lt;EndNote&gt;&lt;Cite&gt;&lt;Author&gt;Morgan&lt;/Author&gt;&lt;Year&gt;1996&lt;/Year&gt;&lt;IDText&gt;Genomic instability induced by ionizing radiation&lt;/IDText&gt;&lt;DisplayText&gt;(Morgan et al., 1996)&lt;/DisplayText&gt;&lt;record&gt;&lt;dates&gt;&lt;pub-dates&gt;&lt;date&gt;Sep&lt;/date&gt;&lt;/pub-dates&gt;&lt;year&gt;1996&lt;/year&gt;&lt;/dates&gt;&lt;urls&gt;&lt;related-urls&gt;&lt;url&gt;&amp;lt;Go to ISI&amp;gt;://WOS:A1996VE40800001&lt;/url&gt;&lt;/related-urls&gt;&lt;/urls&gt;&lt;isbn&gt;0033-7587&lt;/isbn&gt;&lt;titles&gt;&lt;title&gt;Genomic instability induced by ionizing radiation&lt;/title&gt;&lt;secondary-title&gt;Radiation Research&lt;/secondary-title&gt;&lt;/titles&gt;&lt;pages&gt;247-258&lt;/pages&gt;&lt;number&gt;3&lt;/number&gt;&lt;contributors&gt;&lt;authors&gt;&lt;author&gt;Morgan, W. F.&lt;/author&gt;&lt;author&gt;Day, J. P.&lt;/author&gt;&lt;author&gt;Kaplan, M. I.&lt;/author&gt;&lt;author&gt;McGhee, E. M.&lt;/author&gt;&lt;author&gt;Limoli, C. L.&lt;/author&gt;&lt;/authors&gt;&lt;/contributors&gt;&lt;added-date format="utc"&gt;1331723016&lt;/added-date&gt;&lt;ref-type name="Journal Article"&gt;17&lt;/ref-type&gt;&lt;rec-number&gt;297&lt;/rec-number&gt;&lt;last-updated-date format="utc"&gt;1331723016&lt;/last-updated-date&gt;&lt;accession-num&gt;WOS:A1996VE40800001&lt;/accession-num&gt;&lt;electronic-resource-num&gt;10.2307/3579454&lt;/electronic-resource-num&gt;&lt;volume&gt;146&lt;/volume&gt;&lt;/record&gt;&lt;/Cite&gt;&lt;/EndNote&gt;</w:instrText>
      </w:r>
      <w:r w:rsidR="008D4873" w:rsidRPr="00A26F20">
        <w:rPr>
          <w:sz w:val="22"/>
          <w:szCs w:val="22"/>
        </w:rPr>
        <w:fldChar w:fldCharType="separate"/>
      </w:r>
      <w:r w:rsidR="008D4873" w:rsidRPr="00A26F20">
        <w:rPr>
          <w:noProof/>
          <w:sz w:val="22"/>
          <w:szCs w:val="22"/>
        </w:rPr>
        <w:t>(Morgan et al., 1996)</w:t>
      </w:r>
      <w:r w:rsidR="008D4873" w:rsidRPr="00A26F20">
        <w:rPr>
          <w:sz w:val="22"/>
          <w:szCs w:val="22"/>
        </w:rPr>
        <w:fldChar w:fldCharType="end"/>
      </w:r>
      <w:r w:rsidR="00425CB1" w:rsidRPr="00A26F20">
        <w:rPr>
          <w:sz w:val="22"/>
          <w:szCs w:val="22"/>
        </w:rPr>
        <w:t>.</w:t>
      </w:r>
      <w:r w:rsidR="00C461E4" w:rsidRPr="00A26F20">
        <w:rPr>
          <w:sz w:val="22"/>
          <w:szCs w:val="22"/>
        </w:rPr>
        <w:t xml:space="preserve"> These non-linear phenomena observed even in microscopic scale suggest that the risk of stochastic effects induced by ionizing radiation depend</w:t>
      </w:r>
      <w:r w:rsidR="00E04FE8" w:rsidRPr="00A26F20">
        <w:rPr>
          <w:sz w:val="22"/>
          <w:szCs w:val="22"/>
        </w:rPr>
        <w:t>s</w:t>
      </w:r>
      <w:r w:rsidR="00C461E4" w:rsidRPr="00A26F20">
        <w:rPr>
          <w:sz w:val="22"/>
          <w:szCs w:val="22"/>
        </w:rPr>
        <w:t xml:space="preserve"> even on the </w:t>
      </w:r>
      <w:proofErr w:type="spellStart"/>
      <w:r w:rsidR="00C461E4" w:rsidRPr="00A26F20">
        <w:rPr>
          <w:sz w:val="22"/>
          <w:szCs w:val="22"/>
        </w:rPr>
        <w:t>suborgan</w:t>
      </w:r>
      <w:proofErr w:type="spellEnd"/>
      <w:r w:rsidR="00C461E4" w:rsidRPr="00A26F20">
        <w:rPr>
          <w:sz w:val="22"/>
          <w:szCs w:val="22"/>
        </w:rPr>
        <w:t xml:space="preserve"> distribution of absorbed dose.</w:t>
      </w:r>
    </w:p>
    <w:p w:rsidR="007D37A2" w:rsidRPr="00A26F20" w:rsidRDefault="00E04FE8" w:rsidP="00E650A9">
      <w:pPr>
        <w:spacing w:line="240" w:lineRule="auto"/>
        <w:rPr>
          <w:sz w:val="22"/>
          <w:szCs w:val="22"/>
        </w:rPr>
      </w:pPr>
      <w:r w:rsidRPr="00A26F20">
        <w:rPr>
          <w:sz w:val="22"/>
          <w:szCs w:val="22"/>
        </w:rPr>
        <w:t xml:space="preserve">Besides </w:t>
      </w:r>
      <w:r w:rsidR="00C461E4" w:rsidRPr="00A26F20">
        <w:rPr>
          <w:sz w:val="22"/>
          <w:szCs w:val="22"/>
        </w:rPr>
        <w:t xml:space="preserve">experiments, </w:t>
      </w:r>
      <w:r w:rsidR="008D4873" w:rsidRPr="00A26F20">
        <w:rPr>
          <w:sz w:val="22"/>
          <w:szCs w:val="22"/>
        </w:rPr>
        <w:t>a theoretical consideration</w:t>
      </w:r>
      <w:r w:rsidR="00C461E4" w:rsidRPr="00A26F20">
        <w:rPr>
          <w:sz w:val="22"/>
          <w:szCs w:val="22"/>
        </w:rPr>
        <w:t xml:space="preserve"> also </w:t>
      </w:r>
      <w:r w:rsidR="008D4873" w:rsidRPr="00A26F20">
        <w:rPr>
          <w:sz w:val="22"/>
          <w:szCs w:val="22"/>
        </w:rPr>
        <w:t xml:space="preserve">raises the question, whether </w:t>
      </w:r>
      <w:proofErr w:type="spellStart"/>
      <w:r w:rsidR="008D4873" w:rsidRPr="00A26F20">
        <w:rPr>
          <w:sz w:val="22"/>
          <w:szCs w:val="22"/>
        </w:rPr>
        <w:t>suborgan</w:t>
      </w:r>
      <w:proofErr w:type="spellEnd"/>
      <w:r w:rsidR="008D4873" w:rsidRPr="00A26F20">
        <w:rPr>
          <w:sz w:val="22"/>
          <w:szCs w:val="22"/>
        </w:rPr>
        <w:t xml:space="preserve"> dose distribution plays no role in the formation of radiation ind</w:t>
      </w:r>
      <w:r w:rsidR="009E2A15" w:rsidRPr="00A26F20">
        <w:rPr>
          <w:sz w:val="22"/>
          <w:szCs w:val="22"/>
        </w:rPr>
        <w:t>uced stochastic effects. Namely, if the risk was independent of the microscopic dose dis</w:t>
      </w:r>
      <w:r w:rsidR="00881F4A" w:rsidRPr="00A26F20">
        <w:rPr>
          <w:sz w:val="22"/>
          <w:szCs w:val="22"/>
        </w:rPr>
        <w:t>tribution, it would mean that 1 </w:t>
      </w:r>
      <w:r w:rsidR="009E2A15" w:rsidRPr="00A26F20">
        <w:rPr>
          <w:sz w:val="22"/>
          <w:szCs w:val="22"/>
        </w:rPr>
        <w:t xml:space="preserve">J ionizing energy results in the same macroscopic effect if it is absorbed homogeneously </w:t>
      </w:r>
      <w:r w:rsidR="0051067F" w:rsidRPr="00A26F20">
        <w:rPr>
          <w:sz w:val="22"/>
          <w:szCs w:val="22"/>
        </w:rPr>
        <w:t xml:space="preserve">in an organ, in its half, in its tenth or ad absurdum in one of its cells. This seems to be improbable. </w:t>
      </w:r>
      <w:r w:rsidR="00E015CE" w:rsidRPr="00A26F20">
        <w:rPr>
          <w:sz w:val="22"/>
          <w:szCs w:val="22"/>
        </w:rPr>
        <w:t>One can say that</w:t>
      </w:r>
      <w:r w:rsidR="00FF7FFA" w:rsidRPr="00A26F20">
        <w:rPr>
          <w:sz w:val="22"/>
          <w:szCs w:val="22"/>
        </w:rPr>
        <w:t xml:space="preserve"> </w:t>
      </w:r>
      <w:r w:rsidR="00E015CE" w:rsidRPr="00A26F20">
        <w:rPr>
          <w:sz w:val="22"/>
          <w:szCs w:val="22"/>
        </w:rPr>
        <w:t xml:space="preserve">it is not the purpose of </w:t>
      </w:r>
      <w:r w:rsidR="00FF7FFA" w:rsidRPr="00A26F20">
        <w:rPr>
          <w:sz w:val="22"/>
          <w:szCs w:val="22"/>
        </w:rPr>
        <w:t>radiation protection</w:t>
      </w:r>
      <w:r w:rsidR="002D75CA" w:rsidRPr="00A26F20">
        <w:rPr>
          <w:sz w:val="22"/>
          <w:szCs w:val="22"/>
        </w:rPr>
        <w:t xml:space="preserve"> </w:t>
      </w:r>
      <w:r w:rsidR="00E015CE" w:rsidRPr="00A26F20">
        <w:rPr>
          <w:sz w:val="22"/>
          <w:szCs w:val="22"/>
        </w:rPr>
        <w:t xml:space="preserve">to deal with unrealistic exposure scenarios. However, </w:t>
      </w:r>
      <w:r w:rsidRPr="00A26F20">
        <w:rPr>
          <w:sz w:val="22"/>
          <w:szCs w:val="22"/>
        </w:rPr>
        <w:t>radon progeny</w:t>
      </w:r>
      <w:r w:rsidR="00D952FA" w:rsidRPr="00A26F20">
        <w:rPr>
          <w:sz w:val="22"/>
          <w:szCs w:val="22"/>
        </w:rPr>
        <w:t xml:space="preserve">, which are responsible for </w:t>
      </w:r>
      <w:r w:rsidR="00E015CE" w:rsidRPr="00A26F20">
        <w:rPr>
          <w:sz w:val="22"/>
          <w:szCs w:val="22"/>
        </w:rPr>
        <w:t xml:space="preserve">the main </w:t>
      </w:r>
      <w:r w:rsidR="00D952FA" w:rsidRPr="00A26F20">
        <w:rPr>
          <w:sz w:val="22"/>
          <w:szCs w:val="22"/>
        </w:rPr>
        <w:t xml:space="preserve">part </w:t>
      </w:r>
      <w:r w:rsidR="00E015CE" w:rsidRPr="00A26F20">
        <w:rPr>
          <w:sz w:val="22"/>
          <w:szCs w:val="22"/>
        </w:rPr>
        <w:t>of natural radiati</w:t>
      </w:r>
      <w:r w:rsidR="00D952FA" w:rsidRPr="00A26F20">
        <w:rPr>
          <w:sz w:val="22"/>
          <w:szCs w:val="22"/>
        </w:rPr>
        <w:t>on burden of the public,</w:t>
      </w:r>
      <w:r w:rsidR="00E015CE" w:rsidRPr="00A26F20">
        <w:rPr>
          <w:sz w:val="22"/>
          <w:szCs w:val="22"/>
        </w:rPr>
        <w:t xml:space="preserve"> results in very inhomogeneous exposure in the lungs </w:t>
      </w:r>
      <w:r w:rsidR="00E015CE" w:rsidRPr="00A26F20">
        <w:rPr>
          <w:sz w:val="22"/>
          <w:szCs w:val="22"/>
        </w:rPr>
        <w:fldChar w:fldCharType="begin">
          <w:fldData xml:space="preserve">PEVuZE5vdGU+PENpdGU+PEF1dGhvcj5CYWzDoXNow6F6eTwvQXV0aG9yPjxZZWFyPjIwMDk8L1ll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</w:fldData>
        </w:fldChar>
      </w:r>
      <w:r w:rsidR="00A360BD" w:rsidRPr="00A26F20">
        <w:rPr>
          <w:sz w:val="22"/>
          <w:szCs w:val="22"/>
        </w:rPr>
        <w:instrText xml:space="preserve"> ADDIN EN.CITE </w:instrText>
      </w:r>
      <w:r w:rsidR="00A360BD" w:rsidRPr="00A26F20">
        <w:rPr>
          <w:sz w:val="22"/>
          <w:szCs w:val="22"/>
        </w:rPr>
        <w:fldChar w:fldCharType="begin">
          <w:fldData xml:space="preserve">PEVuZE5vdGU+PENpdGU+PEF1dGhvcj5CYWzDoXNow6F6eTwvQXV0aG9yPjxZZWFyPjIwMDk8L1ll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</w:fldData>
        </w:fldChar>
      </w:r>
      <w:r w:rsidR="00A360BD" w:rsidRPr="00A26F20">
        <w:rPr>
          <w:sz w:val="22"/>
          <w:szCs w:val="22"/>
        </w:rPr>
        <w:instrText xml:space="preserve"> ADDIN EN.CITE.DATA </w:instrText>
      </w:r>
      <w:r w:rsidR="00A360BD" w:rsidRPr="00A26F20">
        <w:rPr>
          <w:sz w:val="22"/>
          <w:szCs w:val="22"/>
        </w:rPr>
      </w:r>
      <w:r w:rsidR="00A360BD" w:rsidRPr="00A26F20">
        <w:rPr>
          <w:sz w:val="22"/>
          <w:szCs w:val="22"/>
        </w:rPr>
        <w:fldChar w:fldCharType="end"/>
      </w:r>
      <w:r w:rsidR="00E015CE" w:rsidRPr="00A26F20">
        <w:rPr>
          <w:sz w:val="22"/>
          <w:szCs w:val="22"/>
        </w:rPr>
      </w:r>
      <w:r w:rsidR="00E015CE" w:rsidRPr="00A26F20">
        <w:rPr>
          <w:sz w:val="22"/>
          <w:szCs w:val="22"/>
        </w:rPr>
        <w:fldChar w:fldCharType="separate"/>
      </w:r>
      <w:r w:rsidR="00A360BD" w:rsidRPr="00A26F20">
        <w:rPr>
          <w:noProof/>
          <w:sz w:val="22"/>
          <w:szCs w:val="22"/>
        </w:rPr>
        <w:t>(Balásházy et al., 2009, Madas et al., 2011, Szőke et al., 2009, Farkas et al., 2011)</w:t>
      </w:r>
      <w:r w:rsidR="00E015CE" w:rsidRPr="00A26F20">
        <w:rPr>
          <w:sz w:val="22"/>
          <w:szCs w:val="22"/>
        </w:rPr>
        <w:fldChar w:fldCharType="end"/>
      </w:r>
      <w:r w:rsidR="00E015CE" w:rsidRPr="00A26F20">
        <w:rPr>
          <w:sz w:val="22"/>
          <w:szCs w:val="22"/>
        </w:rPr>
        <w:t>.</w:t>
      </w:r>
      <w:r w:rsidR="00A360BD" w:rsidRPr="00A26F20">
        <w:rPr>
          <w:sz w:val="22"/>
          <w:szCs w:val="22"/>
        </w:rPr>
        <w:t xml:space="preserve"> Thus, the question about the role of spatial distribution of absorbed dose is not just </w:t>
      </w:r>
      <w:r w:rsidR="00AC6DD9" w:rsidRPr="00A26F20">
        <w:rPr>
          <w:sz w:val="22"/>
          <w:szCs w:val="22"/>
        </w:rPr>
        <w:t>theoretical;</w:t>
      </w:r>
      <w:r w:rsidR="00A360BD" w:rsidRPr="00A26F20">
        <w:rPr>
          <w:sz w:val="22"/>
          <w:szCs w:val="22"/>
        </w:rPr>
        <w:t xml:space="preserve"> the answer may have practical implications.</w:t>
      </w:r>
    </w:p>
    <w:p w:rsidR="00AC6DD9" w:rsidRPr="00A26F20" w:rsidRDefault="00AC6DD9" w:rsidP="00E650A9">
      <w:pPr>
        <w:spacing w:line="240" w:lineRule="auto"/>
        <w:rPr>
          <w:sz w:val="22"/>
          <w:szCs w:val="22"/>
        </w:rPr>
      </w:pPr>
      <w:r w:rsidRPr="00A26F20">
        <w:rPr>
          <w:sz w:val="22"/>
          <w:szCs w:val="22"/>
        </w:rPr>
        <w:t xml:space="preserve">In the present study, an alternative method of calculation of effective dose is introduced, which offer the opportunity for the consideration of </w:t>
      </w:r>
      <w:proofErr w:type="spellStart"/>
      <w:r w:rsidRPr="00A26F20">
        <w:rPr>
          <w:sz w:val="22"/>
          <w:szCs w:val="22"/>
        </w:rPr>
        <w:t>suborgan</w:t>
      </w:r>
      <w:proofErr w:type="spellEnd"/>
      <w:r w:rsidRPr="00A26F20">
        <w:rPr>
          <w:sz w:val="22"/>
          <w:szCs w:val="22"/>
        </w:rPr>
        <w:t xml:space="preserve"> inhomogeneity of exposure. </w:t>
      </w:r>
      <w:r w:rsidR="00BA632E" w:rsidRPr="00A26F20">
        <w:rPr>
          <w:sz w:val="22"/>
          <w:szCs w:val="22"/>
        </w:rPr>
        <w:t>It is also investigated, how microscopic nonlinearities may manifest at macroscopic level in case of homogeneous and inhomogeneous exposures. All the computations are performed for radon progeny deposited in the lungs. Although, new methods are introduced and investigated, the consistency with the current system of radiation protection is also considered.</w:t>
      </w:r>
    </w:p>
    <w:p w:rsidR="000B473D" w:rsidRPr="00A26F20" w:rsidRDefault="000B473D" w:rsidP="00E650A9">
      <w:pPr>
        <w:pStyle w:val="Cmsor1"/>
        <w:spacing w:line="240" w:lineRule="auto"/>
        <w:rPr>
          <w:sz w:val="24"/>
          <w:szCs w:val="24"/>
        </w:rPr>
      </w:pPr>
      <w:r w:rsidRPr="00A26F20">
        <w:rPr>
          <w:sz w:val="24"/>
          <w:szCs w:val="24"/>
        </w:rPr>
        <w:t>Methods</w:t>
      </w:r>
    </w:p>
    <w:p w:rsidR="007A4F9C" w:rsidRPr="00A26F20" w:rsidRDefault="006143AC" w:rsidP="00E650A9">
      <w:pPr>
        <w:spacing w:line="240" w:lineRule="auto"/>
        <w:rPr>
          <w:sz w:val="22"/>
          <w:szCs w:val="22"/>
        </w:rPr>
      </w:pPr>
      <w:r w:rsidRPr="00A26F20">
        <w:rPr>
          <w:sz w:val="22"/>
          <w:szCs w:val="22"/>
        </w:rPr>
        <w:t xml:space="preserve">For the consideration of </w:t>
      </w:r>
      <w:proofErr w:type="spellStart"/>
      <w:r w:rsidRPr="00A26F20">
        <w:rPr>
          <w:sz w:val="22"/>
          <w:szCs w:val="22"/>
        </w:rPr>
        <w:t>suborgan</w:t>
      </w:r>
      <w:proofErr w:type="spellEnd"/>
      <w:r w:rsidRPr="00A26F20">
        <w:rPr>
          <w:sz w:val="22"/>
          <w:szCs w:val="22"/>
        </w:rPr>
        <w:t xml:space="preserve"> distribution of absorbed dose, the investigated or</w:t>
      </w:r>
      <w:r w:rsidR="006D7ACE" w:rsidRPr="00A26F20">
        <w:rPr>
          <w:sz w:val="22"/>
          <w:szCs w:val="22"/>
        </w:rPr>
        <w:t>gan must be divided into small</w:t>
      </w:r>
      <w:r w:rsidRPr="00A26F20">
        <w:rPr>
          <w:sz w:val="22"/>
          <w:szCs w:val="22"/>
        </w:rPr>
        <w:t xml:space="preserve"> parts</w:t>
      </w:r>
      <w:r w:rsidR="007C73E8" w:rsidRPr="00A26F20">
        <w:rPr>
          <w:sz w:val="22"/>
          <w:szCs w:val="22"/>
        </w:rPr>
        <w:t xml:space="preserve"> (we call them tissue units – TUs)</w:t>
      </w:r>
      <w:r w:rsidRPr="00A26F20">
        <w:rPr>
          <w:sz w:val="22"/>
          <w:szCs w:val="22"/>
        </w:rPr>
        <w:t xml:space="preserve">, where absorbed doses </w:t>
      </w:r>
      <w:r w:rsidR="007A4F9C" w:rsidRPr="00A26F20">
        <w:rPr>
          <w:sz w:val="22"/>
          <w:szCs w:val="22"/>
        </w:rPr>
        <w:t xml:space="preserve">and equivalent doses </w:t>
      </w:r>
      <w:r w:rsidRPr="00A26F20">
        <w:rPr>
          <w:sz w:val="22"/>
          <w:szCs w:val="22"/>
        </w:rPr>
        <w:t>are</w:t>
      </w:r>
      <w:r w:rsidR="00031EE4" w:rsidRPr="00A26F20">
        <w:rPr>
          <w:sz w:val="22"/>
          <w:szCs w:val="22"/>
        </w:rPr>
        <w:t xml:space="preserve"> computed. </w:t>
      </w:r>
      <w:r w:rsidR="007A4F9C" w:rsidRPr="00A26F20">
        <w:rPr>
          <w:sz w:val="22"/>
          <w:szCs w:val="22"/>
        </w:rPr>
        <w:t>To determine effective dose</w:t>
      </w:r>
      <w:r w:rsidR="00D952FA" w:rsidRPr="00A26F20">
        <w:rPr>
          <w:sz w:val="22"/>
          <w:szCs w:val="22"/>
        </w:rPr>
        <w:t>,</w:t>
      </w:r>
      <w:r w:rsidR="007A4F9C" w:rsidRPr="00A26F20">
        <w:rPr>
          <w:sz w:val="22"/>
          <w:szCs w:val="22"/>
        </w:rPr>
        <w:t xml:space="preserve"> equivalent doses of TUs are summed up over the TUs with an appropriate weighting. This method of calculation </w:t>
      </w:r>
      <w:r w:rsidR="00C95AF1" w:rsidRPr="00A26F20">
        <w:rPr>
          <w:sz w:val="22"/>
          <w:szCs w:val="22"/>
        </w:rPr>
        <w:t xml:space="preserve">involves the assumption that the biological effects on the different TUs are independent of each other and </w:t>
      </w:r>
      <w:r w:rsidR="007A4F9C" w:rsidRPr="00A26F20">
        <w:rPr>
          <w:sz w:val="22"/>
          <w:szCs w:val="22"/>
        </w:rPr>
        <w:t>can be interpreted as the relevant biological targets of ionizing radiation are not the organs and tissues, but the TUs</w:t>
      </w:r>
      <w:r w:rsidR="00C95AF1" w:rsidRPr="00A26F20">
        <w:rPr>
          <w:sz w:val="22"/>
          <w:szCs w:val="22"/>
        </w:rPr>
        <w:t xml:space="preserve">. </w:t>
      </w:r>
      <w:r w:rsidR="007C73E8" w:rsidRPr="00A26F20">
        <w:rPr>
          <w:sz w:val="22"/>
          <w:szCs w:val="22"/>
        </w:rPr>
        <w:t xml:space="preserve">The absorbed dose distribution in the lungs is approximated by the absorbed dose distribution in </w:t>
      </w:r>
      <w:r w:rsidR="00C95AF1" w:rsidRPr="00A26F20">
        <w:rPr>
          <w:sz w:val="22"/>
          <w:szCs w:val="22"/>
        </w:rPr>
        <w:t xml:space="preserve">a five bifurcation unit of </w:t>
      </w:r>
      <w:r w:rsidR="007C73E8" w:rsidRPr="00A26F20">
        <w:rPr>
          <w:sz w:val="22"/>
          <w:szCs w:val="22"/>
        </w:rPr>
        <w:lastRenderedPageBreak/>
        <w:t>th</w:t>
      </w:r>
      <w:r w:rsidR="007A4F9C" w:rsidRPr="00A26F20">
        <w:rPr>
          <w:sz w:val="22"/>
          <w:szCs w:val="22"/>
        </w:rPr>
        <w:t xml:space="preserve">e central airways, because </w:t>
      </w:r>
      <w:r w:rsidR="00C95AF1" w:rsidRPr="00A26F20">
        <w:rPr>
          <w:sz w:val="22"/>
          <w:szCs w:val="22"/>
        </w:rPr>
        <w:t xml:space="preserve">for these parts of the lungs </w:t>
      </w:r>
      <w:r w:rsidR="007A4F9C" w:rsidRPr="00A26F20">
        <w:rPr>
          <w:sz w:val="22"/>
          <w:szCs w:val="22"/>
        </w:rPr>
        <w:t xml:space="preserve">detailed </w:t>
      </w:r>
      <w:r w:rsidR="00D952FA" w:rsidRPr="00A26F20">
        <w:rPr>
          <w:sz w:val="22"/>
          <w:szCs w:val="22"/>
        </w:rPr>
        <w:t>α-hit</w:t>
      </w:r>
      <w:r w:rsidR="007A4F9C" w:rsidRPr="00A26F20">
        <w:rPr>
          <w:sz w:val="22"/>
          <w:szCs w:val="22"/>
        </w:rPr>
        <w:t xml:space="preserve"> distribution data are available. Exposure of any other organs is not considered in this study.</w:t>
      </w:r>
    </w:p>
    <w:p w:rsidR="009E6112" w:rsidRPr="00A26F20" w:rsidRDefault="005D156D" w:rsidP="00E650A9">
      <w:pPr>
        <w:spacing w:line="240" w:lineRule="auto"/>
        <w:rPr>
          <w:sz w:val="22"/>
          <w:szCs w:val="22"/>
        </w:rPr>
      </w:pPr>
      <w:r w:rsidRPr="00A26F20">
        <w:rPr>
          <w:sz w:val="22"/>
          <w:szCs w:val="22"/>
        </w:rPr>
        <w:t>Th</w:t>
      </w:r>
      <w:r w:rsidR="006D7ACE" w:rsidRPr="00A26F20">
        <w:rPr>
          <w:sz w:val="22"/>
          <w:szCs w:val="22"/>
        </w:rPr>
        <w:t xml:space="preserve">e </w:t>
      </w:r>
      <w:r w:rsidR="00557696" w:rsidRPr="00A26F20">
        <w:rPr>
          <w:sz w:val="22"/>
          <w:szCs w:val="22"/>
        </w:rPr>
        <w:t xml:space="preserve">absorbed </w:t>
      </w:r>
      <w:r w:rsidR="006D7ACE" w:rsidRPr="00A26F20">
        <w:rPr>
          <w:sz w:val="22"/>
          <w:szCs w:val="22"/>
        </w:rPr>
        <w:t>d</w:t>
      </w:r>
      <w:r w:rsidRPr="00A26F20">
        <w:rPr>
          <w:sz w:val="22"/>
          <w:szCs w:val="22"/>
        </w:rPr>
        <w:t xml:space="preserve">ose distribution and therefore the estimated local biological effect depend on the size of the TUs. </w:t>
      </w:r>
      <w:r w:rsidR="004560DD" w:rsidRPr="00A26F20">
        <w:rPr>
          <w:sz w:val="22"/>
          <w:szCs w:val="22"/>
        </w:rPr>
        <w:t>Thus, selecting a mathematically and biologically plausible size would be a delicate task</w:t>
      </w:r>
      <w:r w:rsidR="00A360BD" w:rsidRPr="00A26F20">
        <w:rPr>
          <w:sz w:val="22"/>
          <w:szCs w:val="22"/>
        </w:rPr>
        <w:t xml:space="preserve"> </w:t>
      </w:r>
      <w:r w:rsidR="00A360BD" w:rsidRPr="00A26F20">
        <w:rPr>
          <w:sz w:val="22"/>
          <w:szCs w:val="22"/>
        </w:rPr>
        <w:fldChar w:fldCharType="begin">
          <w:fldData xml:space="preserve">PEVuZE5vdGU+PENpdGU+PEF1dGhvcj5GYXJrYXM8L0F1dGhvcj48WWVhcj4yMDExPC9ZZWFyPjxJ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</w:fldData>
        </w:fldChar>
      </w:r>
      <w:r w:rsidR="00A360BD" w:rsidRPr="00A26F20">
        <w:rPr>
          <w:sz w:val="22"/>
          <w:szCs w:val="22"/>
        </w:rPr>
        <w:instrText xml:space="preserve"> ADDIN EN.CITE </w:instrText>
      </w:r>
      <w:r w:rsidR="00A360BD" w:rsidRPr="00A26F20">
        <w:rPr>
          <w:sz w:val="22"/>
          <w:szCs w:val="22"/>
        </w:rPr>
        <w:fldChar w:fldCharType="begin">
          <w:fldData xml:space="preserve">PEVuZE5vdGU+PENpdGU+PEF1dGhvcj5GYXJrYXM8L0F1dGhvcj48WWVhcj4yMDExPC9ZZWFyPjxJ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</w:fldData>
        </w:fldChar>
      </w:r>
      <w:r w:rsidR="00A360BD" w:rsidRPr="00A26F20">
        <w:rPr>
          <w:sz w:val="22"/>
          <w:szCs w:val="22"/>
        </w:rPr>
        <w:instrText xml:space="preserve"> ADDIN EN.CITE.DATA </w:instrText>
      </w:r>
      <w:r w:rsidR="00A360BD" w:rsidRPr="00A26F20">
        <w:rPr>
          <w:sz w:val="22"/>
          <w:szCs w:val="22"/>
        </w:rPr>
      </w:r>
      <w:r w:rsidR="00A360BD" w:rsidRPr="00A26F20">
        <w:rPr>
          <w:sz w:val="22"/>
          <w:szCs w:val="22"/>
        </w:rPr>
        <w:fldChar w:fldCharType="end"/>
      </w:r>
      <w:r w:rsidR="00A360BD" w:rsidRPr="00A26F20">
        <w:rPr>
          <w:sz w:val="22"/>
          <w:szCs w:val="22"/>
        </w:rPr>
      </w:r>
      <w:r w:rsidR="00A360BD" w:rsidRPr="00A26F20">
        <w:rPr>
          <w:sz w:val="22"/>
          <w:szCs w:val="22"/>
        </w:rPr>
        <w:fldChar w:fldCharType="separate"/>
      </w:r>
      <w:r w:rsidR="00A360BD" w:rsidRPr="00A26F20">
        <w:rPr>
          <w:noProof/>
          <w:sz w:val="22"/>
          <w:szCs w:val="22"/>
        </w:rPr>
        <w:t>(Farkas et al., 2011)</w:t>
      </w:r>
      <w:r w:rsidR="00A360BD" w:rsidRPr="00A26F20">
        <w:rPr>
          <w:sz w:val="22"/>
          <w:szCs w:val="22"/>
        </w:rPr>
        <w:fldChar w:fldCharType="end"/>
      </w:r>
      <w:r w:rsidR="004560DD" w:rsidRPr="00A26F20">
        <w:rPr>
          <w:sz w:val="22"/>
          <w:szCs w:val="22"/>
        </w:rPr>
        <w:t xml:space="preserve">. </w:t>
      </w:r>
      <w:r w:rsidRPr="00A26F20">
        <w:rPr>
          <w:sz w:val="22"/>
          <w:szCs w:val="22"/>
        </w:rPr>
        <w:t xml:space="preserve">However, </w:t>
      </w:r>
      <w:r w:rsidR="004560DD" w:rsidRPr="00A26F20">
        <w:rPr>
          <w:sz w:val="22"/>
          <w:szCs w:val="22"/>
        </w:rPr>
        <w:t xml:space="preserve">the purpose of this study </w:t>
      </w:r>
      <w:r w:rsidRPr="00A26F20">
        <w:rPr>
          <w:sz w:val="22"/>
          <w:szCs w:val="22"/>
        </w:rPr>
        <w:t xml:space="preserve">is not to give a </w:t>
      </w:r>
      <w:r w:rsidR="004560DD" w:rsidRPr="00A26F20">
        <w:rPr>
          <w:sz w:val="22"/>
          <w:szCs w:val="22"/>
        </w:rPr>
        <w:t xml:space="preserve">quantitative </w:t>
      </w:r>
      <w:r w:rsidRPr="00A26F20">
        <w:rPr>
          <w:sz w:val="22"/>
          <w:szCs w:val="22"/>
        </w:rPr>
        <w:t xml:space="preserve">estimation </w:t>
      </w:r>
      <w:r w:rsidR="004560DD" w:rsidRPr="00A26F20">
        <w:rPr>
          <w:sz w:val="22"/>
          <w:szCs w:val="22"/>
        </w:rPr>
        <w:t xml:space="preserve">of </w:t>
      </w:r>
      <w:r w:rsidR="00D969A4" w:rsidRPr="00A26F20">
        <w:rPr>
          <w:sz w:val="22"/>
          <w:szCs w:val="22"/>
        </w:rPr>
        <w:t xml:space="preserve">(alternative) </w:t>
      </w:r>
      <w:r w:rsidRPr="00A26F20">
        <w:rPr>
          <w:sz w:val="22"/>
          <w:szCs w:val="22"/>
        </w:rPr>
        <w:t xml:space="preserve">nominal </w:t>
      </w:r>
      <w:r w:rsidR="004560DD" w:rsidRPr="00A26F20">
        <w:rPr>
          <w:sz w:val="22"/>
          <w:szCs w:val="22"/>
        </w:rPr>
        <w:t>risk or effective dose,</w:t>
      </w:r>
      <w:r w:rsidRPr="00A26F20">
        <w:rPr>
          <w:sz w:val="22"/>
          <w:szCs w:val="22"/>
        </w:rPr>
        <w:t xml:space="preserve"> rather </w:t>
      </w:r>
      <w:r w:rsidR="004560DD" w:rsidRPr="00A26F20">
        <w:rPr>
          <w:sz w:val="22"/>
          <w:szCs w:val="22"/>
        </w:rPr>
        <w:t xml:space="preserve">to highlight on the possible </w:t>
      </w:r>
      <w:r w:rsidR="00723DDA" w:rsidRPr="00A26F20">
        <w:rPr>
          <w:sz w:val="22"/>
          <w:szCs w:val="22"/>
        </w:rPr>
        <w:t xml:space="preserve">qualitative </w:t>
      </w:r>
      <w:r w:rsidR="004560DD" w:rsidRPr="00A26F20">
        <w:rPr>
          <w:sz w:val="22"/>
          <w:szCs w:val="22"/>
        </w:rPr>
        <w:t xml:space="preserve">consequences of inhomogeneous dose distribution. </w:t>
      </w:r>
      <w:r w:rsidR="00AE6CFD" w:rsidRPr="00A26F20">
        <w:rPr>
          <w:sz w:val="22"/>
          <w:szCs w:val="22"/>
        </w:rPr>
        <w:t>The mean size of</w:t>
      </w:r>
      <w:r w:rsidR="00DA2FF8" w:rsidRPr="00A26F20">
        <w:rPr>
          <w:sz w:val="22"/>
          <w:szCs w:val="22"/>
        </w:rPr>
        <w:t xml:space="preserve"> TUs in the present study is </w:t>
      </w:r>
      <w:r w:rsidR="00881F4A" w:rsidRPr="00A26F20">
        <w:rPr>
          <w:sz w:val="22"/>
          <w:szCs w:val="22"/>
        </w:rPr>
        <w:t xml:space="preserve">250 </w:t>
      </w:r>
      <m:oMath>
        <m:r>
          <w:rPr>
            <w:rFonts w:ascii="Cambria Math" w:hAnsi="Cambria Math"/>
            <w:sz w:val="22"/>
            <w:szCs w:val="22"/>
          </w:rPr>
          <m:t>×</m:t>
        </m:r>
      </m:oMath>
      <w:r w:rsidR="00881F4A" w:rsidRPr="00A26F20">
        <w:rPr>
          <w:sz w:val="22"/>
          <w:szCs w:val="22"/>
        </w:rPr>
        <w:t xml:space="preserve"> 250</w:t>
      </w:r>
      <w:r w:rsidR="00DA2FF8" w:rsidRPr="00A26F20">
        <w:rPr>
          <w:sz w:val="22"/>
          <w:szCs w:val="22"/>
        </w:rPr>
        <w:t> </w:t>
      </w:r>
      <w:r w:rsidR="00AE6CFD" w:rsidRPr="00A26F20">
        <w:rPr>
          <w:sz w:val="22"/>
          <w:szCs w:val="22"/>
        </w:rPr>
        <w:t>µm</w:t>
      </w:r>
      <w:r w:rsidR="00AE6CFD" w:rsidRPr="00A26F20">
        <w:rPr>
          <w:sz w:val="22"/>
          <w:szCs w:val="22"/>
          <w:vertAlign w:val="superscript"/>
        </w:rPr>
        <w:t>2</w:t>
      </w:r>
      <w:r w:rsidR="00DA2FF8" w:rsidRPr="00A26F20">
        <w:rPr>
          <w:sz w:val="22"/>
          <w:szCs w:val="22"/>
        </w:rPr>
        <w:t xml:space="preserve"> with a thickness of 57.8 µm characteristic of the large bronchi </w:t>
      </w:r>
      <w:r w:rsidR="00DA2FF8" w:rsidRPr="00A26F20">
        <w:rPr>
          <w:sz w:val="22"/>
          <w:szCs w:val="22"/>
        </w:rPr>
        <w:fldChar w:fldCharType="begin"/>
      </w:r>
      <w:r w:rsidR="00DA2FF8" w:rsidRPr="00A26F20">
        <w:rPr>
          <w:sz w:val="22"/>
          <w:szCs w:val="22"/>
        </w:rPr>
        <w:instrText xml:space="preserve"> ADDIN EN.CITE &lt;EndNote&gt;&lt;Cite&gt;&lt;Author&gt;Mercer&lt;/Author&gt;&lt;Year&gt;1991&lt;/Year&gt;&lt;IDText&gt;Radon dosimetry based on the depth distribution of nuclei in human and rat lungs&lt;/IDText&gt;&lt;DisplayText&gt;(Mercer et al., 1991)&lt;/DisplayText&gt;&lt;record&gt;&lt;dates&gt;&lt;pub-dates&gt;&lt;date&gt;Jul&lt;/date&gt;&lt;/pub-dates&gt;&lt;year&gt;1991&lt;/year&gt;&lt;/dates&gt;&lt;isbn&gt;0017-9078&lt;/isbn&gt;&lt;titles&gt;&lt;title&gt;Radon dosimetry based on the depth distribution of nuclei in human and rat lungs&lt;/title&gt;&lt;secondary-title&gt;Health Physics&lt;/secondary-title&gt;&lt;/titles&gt;&lt;pages&gt;117-130&lt;/pages&gt;&lt;number&gt;1&lt;/number&gt;&lt;contributors&gt;&lt;authors&gt;&lt;author&gt;Mercer, R. R.&lt;/author&gt;&lt;author&gt;Russell, M. L.&lt;/author&gt;&lt;author&gt;Crapo, J. D.&lt;/author&gt;&lt;/authors&gt;&lt;/contributors&gt;&lt;added-date format="utc"&gt;1260547050&lt;/added-date&gt;&lt;ref-type name="Journal Article"&gt;17&lt;/ref-type&gt;&lt;rec-number&gt;11&lt;/rec-number&gt;&lt;last-updated-date format="utc"&gt;1280325735&lt;/last-updated-date&gt;&lt;accession-num&gt;ISI:A1991FW00100014&lt;/accession-num&gt;&lt;volume&gt;61&lt;/volume&gt;&lt;/record&gt;&lt;/Cite&gt;&lt;/EndNote&gt;</w:instrText>
      </w:r>
      <w:r w:rsidR="00DA2FF8" w:rsidRPr="00A26F20">
        <w:rPr>
          <w:sz w:val="22"/>
          <w:szCs w:val="22"/>
        </w:rPr>
        <w:fldChar w:fldCharType="separate"/>
      </w:r>
      <w:r w:rsidR="00DA2FF8" w:rsidRPr="00A26F20">
        <w:rPr>
          <w:noProof/>
          <w:sz w:val="22"/>
          <w:szCs w:val="22"/>
        </w:rPr>
        <w:t>(Mercer et al., 1991)</w:t>
      </w:r>
      <w:r w:rsidR="00DA2FF8" w:rsidRPr="00A26F20">
        <w:rPr>
          <w:sz w:val="22"/>
          <w:szCs w:val="22"/>
        </w:rPr>
        <w:fldChar w:fldCharType="end"/>
      </w:r>
      <w:r w:rsidR="00DA2FF8" w:rsidRPr="00A26F20">
        <w:rPr>
          <w:sz w:val="22"/>
          <w:szCs w:val="22"/>
        </w:rPr>
        <w:t xml:space="preserve">. This size is </w:t>
      </w:r>
      <w:r w:rsidR="006D7ACE" w:rsidRPr="00A26F20">
        <w:rPr>
          <w:sz w:val="22"/>
          <w:szCs w:val="22"/>
        </w:rPr>
        <w:t xml:space="preserve">in accord </w:t>
      </w:r>
      <w:r w:rsidR="009E6112" w:rsidRPr="00A26F20">
        <w:rPr>
          <w:sz w:val="22"/>
          <w:szCs w:val="22"/>
        </w:rPr>
        <w:t xml:space="preserve">with recent estimates for the range of bystander effect around an irradiated cell of 0.21 mm </w:t>
      </w:r>
      <w:r w:rsidR="00A90466" w:rsidRPr="00A26F20">
        <w:rPr>
          <w:sz w:val="22"/>
          <w:szCs w:val="22"/>
        </w:rPr>
        <w:fldChar w:fldCharType="begin"/>
      </w:r>
      <w:r w:rsidR="00A90466" w:rsidRPr="00A26F20">
        <w:rPr>
          <w:sz w:val="22"/>
          <w:szCs w:val="22"/>
        </w:rPr>
        <w:instrText xml:space="preserve"> ADDIN EN.CITE &lt;EndNote&gt;&lt;Cite&gt;&lt;Author&gt;Leonard&lt;/Author&gt;&lt;Year&gt;2009&lt;/Year&gt;&lt;IDText&gt;The Range of the Bystander Effect Signal in Three-Dimensional Tissue and Estimation of the Range in Human Lung Tissue at Low Radon Levels&lt;/IDText&gt;&lt;DisplayText&gt;(Leonard, 2009)&lt;/DisplayText&gt;&lt;record&gt;&lt;dates&gt;&lt;pub-dates&gt;&lt;date&gt;Mar&lt;/date&gt;&lt;/pub-dates&gt;&lt;year&gt;2009&lt;/year&gt;&lt;/dates&gt;&lt;urls&gt;&lt;related-urls&gt;&lt;url&gt;&amp;lt;Go to ISI&amp;gt;://WOS:000263728000013&lt;/url&gt;&lt;/related-urls&gt;&lt;/urls&gt;&lt;isbn&gt;0033-7587&lt;/isbn&gt;&lt;titles&gt;&lt;title&gt;The Range of the Bystander Effect Signal in Three-Dimensional Tissue and Estimation of the Range in Human Lung Tissue at Low Radon Levels&lt;/title&gt;&lt;secondary-title&gt;Radiation Research&lt;/secondary-title&gt;&lt;/titles&gt;&lt;pages&gt;374-378&lt;/pages&gt;&lt;number&gt;3&lt;/number&gt;&lt;contributors&gt;&lt;authors&gt;&lt;author&gt;Leonard, B. E.&lt;/author&gt;&lt;/authors&gt;&lt;/contributors&gt;&lt;added-date format="utc"&gt;1331649411&lt;/added-date&gt;&lt;ref-type name="Journal Article"&gt;17&lt;/ref-type&gt;&lt;rec-number&gt;294&lt;/rec-number&gt;&lt;last-updated-date format="utc"&gt;1331649411&lt;/last-updated-date&gt;&lt;accession-num&gt;WOS:000263728000013&lt;/accession-num&gt;&lt;electronic-resource-num&gt;10.1667/rr1374.1&lt;/electronic-resource-num&gt;&lt;volume&gt;171&lt;/volume&gt;&lt;/record&gt;&lt;/Cite&gt;&lt;/EndNote&gt;</w:instrText>
      </w:r>
      <w:r w:rsidR="00A90466" w:rsidRPr="00A26F20">
        <w:rPr>
          <w:sz w:val="22"/>
          <w:szCs w:val="22"/>
        </w:rPr>
        <w:fldChar w:fldCharType="separate"/>
      </w:r>
      <w:r w:rsidR="00A90466" w:rsidRPr="00A26F20">
        <w:rPr>
          <w:noProof/>
          <w:sz w:val="22"/>
          <w:szCs w:val="22"/>
        </w:rPr>
        <w:t>(Leonard, 2009)</w:t>
      </w:r>
      <w:r w:rsidR="00A90466" w:rsidRPr="00A26F20">
        <w:rPr>
          <w:sz w:val="22"/>
          <w:szCs w:val="22"/>
        </w:rPr>
        <w:fldChar w:fldCharType="end"/>
      </w:r>
      <w:r w:rsidR="00A90466" w:rsidRPr="00A26F20">
        <w:rPr>
          <w:sz w:val="22"/>
          <w:szCs w:val="22"/>
        </w:rPr>
        <w:t xml:space="preserve"> </w:t>
      </w:r>
      <w:r w:rsidR="009E6112" w:rsidRPr="00A26F20">
        <w:rPr>
          <w:sz w:val="22"/>
          <w:szCs w:val="22"/>
        </w:rPr>
        <w:t>and 0.1 mm</w:t>
      </w:r>
      <w:r w:rsidR="00A90466" w:rsidRPr="00A26F20">
        <w:rPr>
          <w:sz w:val="22"/>
          <w:szCs w:val="22"/>
        </w:rPr>
        <w:t xml:space="preserve"> </w:t>
      </w:r>
      <w:r w:rsidR="00A90466" w:rsidRPr="00A26F20">
        <w:rPr>
          <w:sz w:val="22"/>
          <w:szCs w:val="22"/>
        </w:rPr>
        <w:fldChar w:fldCharType="begin"/>
      </w:r>
      <w:r w:rsidR="00A90466" w:rsidRPr="00A26F20">
        <w:rPr>
          <w:sz w:val="22"/>
          <w:szCs w:val="22"/>
        </w:rPr>
        <w:instrText xml:space="preserve"> ADDIN EN.CITE &lt;EndNote&gt;&lt;Cite&gt;&lt;Author&gt;Gaillard&lt;/Author&gt;&lt;Year&gt;2009&lt;/Year&gt;&lt;IDText&gt;Propagation Distance of the alpha-Particle-Induced Bystander Effect: The Role of Nuclear Traversal and Gap Junction Communication&lt;/IDText&gt;&lt;DisplayText&gt;(Gaillard et al., 2009)&lt;/DisplayText&gt;&lt;record&gt;&lt;dates&gt;&lt;pub-dates&gt;&lt;date&gt;May&lt;/date&gt;&lt;/pub-dates&gt;&lt;year&gt;2009&lt;/year&gt;&lt;/dates&gt;&lt;urls&gt;&lt;related-urls&gt;&lt;url&gt;&amp;lt;Go to ISI&amp;gt;://WOS:000265869700001&lt;/url&gt;&lt;/related-urls&gt;&lt;/urls&gt;&lt;isbn&gt;0033-7587&lt;/isbn&gt;&lt;titles&gt;&lt;title&gt;Propagation Distance of the alpha-Particle-Induced Bystander Effect: The Role of Nuclear Traversal and Gap Junction Communication&lt;/title&gt;&lt;secondary-title&gt;Radiation Research&lt;/secondary-title&gt;&lt;/titles&gt;&lt;pages&gt;513-520&lt;/pages&gt;&lt;number&gt;5&lt;/number&gt;&lt;contributors&gt;&lt;authors&gt;&lt;author&gt;Gaillard, S.&lt;/author&gt;&lt;author&gt;Pusset, D.&lt;/author&gt;&lt;author&gt;de Toledo, S. M.&lt;/author&gt;&lt;author&gt;Fromm, M.&lt;/author&gt;&lt;author&gt;Azzam, E. I.&lt;/author&gt;&lt;/authors&gt;&lt;/contributors&gt;&lt;added-date format="utc"&gt;1331649411&lt;/added-date&gt;&lt;ref-type name="Journal Article"&gt;17&lt;/ref-type&gt;&lt;rec-number&gt;293&lt;/rec-number&gt;&lt;last-updated-date format="utc"&gt;1331649411&lt;/last-updated-date&gt;&lt;accession-num&gt;WOS:000265869700001&lt;/accession-num&gt;&lt;electronic-resource-num&gt;10.1667/rr1658.1&lt;/electronic-resource-num&gt;&lt;volume&gt;171&lt;/volume&gt;&lt;/record&gt;&lt;/Cite&gt;&lt;/EndNote&gt;</w:instrText>
      </w:r>
      <w:r w:rsidR="00A90466" w:rsidRPr="00A26F20">
        <w:rPr>
          <w:sz w:val="22"/>
          <w:szCs w:val="22"/>
        </w:rPr>
        <w:fldChar w:fldCharType="separate"/>
      </w:r>
      <w:r w:rsidR="00A90466" w:rsidRPr="00A26F20">
        <w:rPr>
          <w:noProof/>
          <w:sz w:val="22"/>
          <w:szCs w:val="22"/>
        </w:rPr>
        <w:t>(Gaillard et al., 2009)</w:t>
      </w:r>
      <w:r w:rsidR="00A90466" w:rsidRPr="00A26F20">
        <w:rPr>
          <w:sz w:val="22"/>
          <w:szCs w:val="22"/>
        </w:rPr>
        <w:fldChar w:fldCharType="end"/>
      </w:r>
      <w:r w:rsidR="009E6112" w:rsidRPr="00A26F20">
        <w:rPr>
          <w:sz w:val="22"/>
          <w:szCs w:val="22"/>
        </w:rPr>
        <w:t>.</w:t>
      </w:r>
    </w:p>
    <w:p w:rsidR="00E41BED" w:rsidRPr="00A26F20" w:rsidRDefault="006D7ACE" w:rsidP="00E650A9">
      <w:pPr>
        <w:spacing w:line="240" w:lineRule="auto"/>
        <w:rPr>
          <w:sz w:val="22"/>
          <w:szCs w:val="22"/>
        </w:rPr>
      </w:pPr>
      <w:r w:rsidRPr="00A26F20">
        <w:rPr>
          <w:sz w:val="22"/>
          <w:szCs w:val="22"/>
        </w:rPr>
        <w:t xml:space="preserve">For the </w:t>
      </w:r>
      <w:r w:rsidR="00557696" w:rsidRPr="00A26F20">
        <w:rPr>
          <w:sz w:val="22"/>
          <w:szCs w:val="22"/>
        </w:rPr>
        <w:t xml:space="preserve">alternative </w:t>
      </w:r>
      <w:r w:rsidRPr="00A26F20">
        <w:rPr>
          <w:sz w:val="22"/>
          <w:szCs w:val="22"/>
        </w:rPr>
        <w:t xml:space="preserve">calculation of effective dose, weighting factors of TUs must be introduced. </w:t>
      </w:r>
      <w:r w:rsidR="00E41BED" w:rsidRPr="00A26F20">
        <w:rPr>
          <w:sz w:val="22"/>
          <w:szCs w:val="22"/>
        </w:rPr>
        <w:t xml:space="preserve">To avoid inconsistency, it is necessary that homogeneous exposures </w:t>
      </w:r>
      <w:r w:rsidR="00354BAF" w:rsidRPr="00A26F20">
        <w:rPr>
          <w:sz w:val="22"/>
          <w:szCs w:val="22"/>
        </w:rPr>
        <w:t>result in the same effective dose and nominal risk independently of the method of calculation</w:t>
      </w:r>
      <w:r w:rsidR="00723DDA" w:rsidRPr="00A26F20">
        <w:rPr>
          <w:sz w:val="22"/>
          <w:szCs w:val="22"/>
        </w:rPr>
        <w:t xml:space="preserve"> and the size of TUs</w:t>
      </w:r>
      <w:r w:rsidR="00354BAF" w:rsidRPr="00A26F20">
        <w:rPr>
          <w:sz w:val="22"/>
          <w:szCs w:val="22"/>
        </w:rPr>
        <w:t>. To fulfil this criteri</w:t>
      </w:r>
      <w:r w:rsidR="005F08EE" w:rsidRPr="00A26F20">
        <w:rPr>
          <w:sz w:val="22"/>
          <w:szCs w:val="22"/>
        </w:rPr>
        <w:t>on</w:t>
      </w:r>
      <w:r w:rsidR="00354BAF" w:rsidRPr="00A26F20">
        <w:rPr>
          <w:sz w:val="22"/>
          <w:szCs w:val="22"/>
        </w:rPr>
        <w:t xml:space="preserve">, the sum of the weighting factors of TUs </w:t>
      </w:r>
      <w:r w:rsidR="005F08EE" w:rsidRPr="00A26F20">
        <w:rPr>
          <w:sz w:val="22"/>
          <w:szCs w:val="22"/>
        </w:rPr>
        <w:t>(</w:t>
      </w:r>
      <w:proofErr w:type="spellStart"/>
      <w:r w:rsidR="005F08EE" w:rsidRPr="00A26F20">
        <w:rPr>
          <w:i/>
          <w:sz w:val="22"/>
          <w:szCs w:val="22"/>
        </w:rPr>
        <w:t>w</w:t>
      </w:r>
      <w:r w:rsidR="005F08EE" w:rsidRPr="00A26F20">
        <w:rPr>
          <w:i/>
          <w:sz w:val="22"/>
          <w:szCs w:val="22"/>
          <w:vertAlign w:val="subscript"/>
        </w:rPr>
        <w:t>TU</w:t>
      </w:r>
      <w:proofErr w:type="gramStart"/>
      <w:r w:rsidR="005F08EE" w:rsidRPr="00A26F20">
        <w:rPr>
          <w:i/>
          <w:sz w:val="22"/>
          <w:szCs w:val="22"/>
          <w:vertAlign w:val="subscript"/>
        </w:rPr>
        <w:t>,i</w:t>
      </w:r>
      <w:proofErr w:type="spellEnd"/>
      <w:proofErr w:type="gramEnd"/>
      <w:r w:rsidR="005F08EE" w:rsidRPr="00A26F20">
        <w:rPr>
          <w:sz w:val="22"/>
          <w:szCs w:val="22"/>
        </w:rPr>
        <w:t xml:space="preserve">) </w:t>
      </w:r>
      <w:r w:rsidR="00354BAF" w:rsidRPr="00A26F20">
        <w:rPr>
          <w:sz w:val="22"/>
          <w:szCs w:val="22"/>
        </w:rPr>
        <w:t xml:space="preserve">must be equal to the </w:t>
      </w:r>
      <w:r w:rsidR="005F08EE" w:rsidRPr="00A26F20">
        <w:rPr>
          <w:sz w:val="22"/>
          <w:szCs w:val="22"/>
        </w:rPr>
        <w:t>tissue weighting factor (</w:t>
      </w:r>
      <w:proofErr w:type="spellStart"/>
      <w:r w:rsidR="005F08EE" w:rsidRPr="00A26F20">
        <w:rPr>
          <w:i/>
          <w:sz w:val="22"/>
          <w:szCs w:val="22"/>
        </w:rPr>
        <w:t>w</w:t>
      </w:r>
      <w:r w:rsidR="005F08EE" w:rsidRPr="00A26F20">
        <w:rPr>
          <w:i/>
          <w:sz w:val="22"/>
          <w:szCs w:val="22"/>
          <w:vertAlign w:val="subscript"/>
        </w:rPr>
        <w:t>T</w:t>
      </w:r>
      <w:proofErr w:type="spellEnd"/>
      <w:r w:rsidR="005F08EE" w:rsidRPr="00A26F20">
        <w:rPr>
          <w:sz w:val="22"/>
          <w:szCs w:val="22"/>
        </w:rPr>
        <w:t>):</w:t>
      </w:r>
    </w:p>
    <w:p w:rsidR="005F08EE" w:rsidRPr="00A26F20" w:rsidRDefault="00874E50" w:rsidP="00E650A9">
      <w:pPr>
        <w:spacing w:line="240" w:lineRule="auto"/>
        <w:rPr>
          <w:sz w:val="22"/>
          <w:szCs w:val="22"/>
        </w:rPr>
      </w:pPr>
      <w:r w:rsidRPr="00A26F20">
        <w:rPr>
          <w:sz w:val="22"/>
          <w:szCs w:val="22"/>
        </w:rPr>
        <w:tab/>
      </w:r>
      <m:oMath>
        <m:nary>
          <m:naryPr>
            <m:chr m:val="∑"/>
            <m:limLoc m:val="undOvr"/>
            <m:supHide m:val="1"/>
            <m:ctrlPr>
              <w:rPr>
                <w:rFonts w:ascii="Cambria Math" w:hAnsi="Cambria Math"/>
                <w:sz w:val="22"/>
                <w:szCs w:val="22"/>
              </w:rPr>
            </m:ctrlPr>
          </m:naryPr>
          <m:sub>
            <m:r>
              <w:rPr>
                <w:rFonts w:ascii="Cambria Math" w:hAnsi="Cambria Math"/>
                <w:sz w:val="22"/>
                <w:szCs w:val="22"/>
              </w:rPr>
              <m:t>i</m:t>
            </m:r>
          </m:sub>
          <m:sup/>
          <m:e>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TU</m:t>
                </m:r>
                <m:r>
                  <m:rPr>
                    <m:sty m:val="p"/>
                  </m:rPr>
                  <w:rPr>
                    <w:rFonts w:ascii="Cambria Math" w:hAnsi="Cambria Math"/>
                    <w:sz w:val="22"/>
                    <w:szCs w:val="22"/>
                  </w:rPr>
                  <m:t>,</m:t>
                </m:r>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T</m:t>
                </m:r>
              </m:sub>
            </m:sSub>
          </m:e>
        </m:nary>
      </m:oMath>
      <w:r w:rsidR="005F08EE" w:rsidRPr="00A26F20">
        <w:rPr>
          <w:sz w:val="22"/>
          <w:szCs w:val="22"/>
        </w:rPr>
        <w:t>.</w:t>
      </w:r>
      <w:r w:rsidRPr="00A26F20">
        <w:rPr>
          <w:sz w:val="22"/>
          <w:szCs w:val="22"/>
        </w:rPr>
        <w:tab/>
      </w:r>
      <w:r w:rsidR="00091DA0" w:rsidRPr="00A26F20">
        <w:rPr>
          <w:sz w:val="22"/>
          <w:szCs w:val="22"/>
        </w:rPr>
        <w:t>(1)</w:t>
      </w:r>
    </w:p>
    <w:p w:rsidR="00E41BED" w:rsidRPr="00A26F20" w:rsidRDefault="00091DA0" w:rsidP="00E650A9">
      <w:pPr>
        <w:spacing w:line="240" w:lineRule="auto"/>
        <w:rPr>
          <w:sz w:val="22"/>
          <w:szCs w:val="22"/>
        </w:rPr>
      </w:pPr>
      <w:r w:rsidRPr="00A26F20">
        <w:rPr>
          <w:sz w:val="22"/>
          <w:szCs w:val="22"/>
        </w:rPr>
        <w:t xml:space="preserve">There is no information about </w:t>
      </w:r>
      <w:r w:rsidR="0086074E" w:rsidRPr="00A26F20">
        <w:rPr>
          <w:sz w:val="22"/>
          <w:szCs w:val="22"/>
        </w:rPr>
        <w:t xml:space="preserve">differences in </w:t>
      </w:r>
      <w:r w:rsidRPr="00A26F20">
        <w:rPr>
          <w:sz w:val="22"/>
          <w:szCs w:val="22"/>
        </w:rPr>
        <w:t xml:space="preserve">radiation sensitivity of the different parts of the bronchial epithelium. Therefore, it is supposed that the </w:t>
      </w:r>
      <w:r w:rsidR="0086074E" w:rsidRPr="00A26F20">
        <w:rPr>
          <w:sz w:val="22"/>
          <w:szCs w:val="22"/>
        </w:rPr>
        <w:t>weighting fac</w:t>
      </w:r>
      <w:r w:rsidRPr="00A26F20">
        <w:rPr>
          <w:sz w:val="22"/>
          <w:szCs w:val="22"/>
        </w:rPr>
        <w:t>t</w:t>
      </w:r>
      <w:r w:rsidR="0086074E" w:rsidRPr="00A26F20">
        <w:rPr>
          <w:sz w:val="22"/>
          <w:szCs w:val="22"/>
        </w:rPr>
        <w:t>o</w:t>
      </w:r>
      <w:r w:rsidRPr="00A26F20">
        <w:rPr>
          <w:sz w:val="22"/>
          <w:szCs w:val="22"/>
        </w:rPr>
        <w:t>r</w:t>
      </w:r>
      <w:r w:rsidR="0086074E" w:rsidRPr="00A26F20">
        <w:rPr>
          <w:sz w:val="22"/>
          <w:szCs w:val="22"/>
        </w:rPr>
        <w:t>s</w:t>
      </w:r>
      <w:r w:rsidRPr="00A26F20">
        <w:rPr>
          <w:sz w:val="22"/>
          <w:szCs w:val="22"/>
        </w:rPr>
        <w:t xml:space="preserve"> </w:t>
      </w:r>
      <w:r w:rsidR="0086074E" w:rsidRPr="00A26F20">
        <w:rPr>
          <w:sz w:val="22"/>
          <w:szCs w:val="22"/>
        </w:rPr>
        <w:t xml:space="preserve">of the TUs are uniform or more precisely proportional to the </w:t>
      </w:r>
      <w:r w:rsidR="00723DDA" w:rsidRPr="00A26F20">
        <w:rPr>
          <w:sz w:val="22"/>
          <w:szCs w:val="22"/>
        </w:rPr>
        <w:t xml:space="preserve">mass </w:t>
      </w:r>
      <w:r w:rsidR="0086074E" w:rsidRPr="00A26F20">
        <w:rPr>
          <w:sz w:val="22"/>
          <w:szCs w:val="22"/>
        </w:rPr>
        <w:t xml:space="preserve">of the TUs </w:t>
      </w:r>
      <w:r w:rsidR="00723DDA" w:rsidRPr="00A26F20">
        <w:rPr>
          <w:sz w:val="22"/>
          <w:szCs w:val="22"/>
        </w:rPr>
        <w:t>(</w:t>
      </w:r>
      <w:proofErr w:type="spellStart"/>
      <w:r w:rsidR="00723DDA" w:rsidRPr="00A26F20">
        <w:rPr>
          <w:i/>
          <w:sz w:val="22"/>
          <w:szCs w:val="22"/>
        </w:rPr>
        <w:t>m</w:t>
      </w:r>
      <w:r w:rsidR="00723DDA" w:rsidRPr="00A26F20">
        <w:rPr>
          <w:i/>
          <w:sz w:val="22"/>
          <w:szCs w:val="22"/>
          <w:vertAlign w:val="subscript"/>
        </w:rPr>
        <w:t>TU</w:t>
      </w:r>
      <w:proofErr w:type="gramStart"/>
      <w:r w:rsidR="00723DDA" w:rsidRPr="00A26F20">
        <w:rPr>
          <w:i/>
          <w:sz w:val="22"/>
          <w:szCs w:val="22"/>
          <w:vertAlign w:val="subscript"/>
        </w:rPr>
        <w:t>,i</w:t>
      </w:r>
      <w:proofErr w:type="spellEnd"/>
      <w:proofErr w:type="gramEnd"/>
      <w:r w:rsidR="00723DDA" w:rsidRPr="00A26F20">
        <w:rPr>
          <w:sz w:val="22"/>
          <w:szCs w:val="22"/>
        </w:rPr>
        <w:t>), if their size is not uniform</w:t>
      </w:r>
      <w:r w:rsidR="0086074E" w:rsidRPr="00A26F20">
        <w:rPr>
          <w:sz w:val="22"/>
          <w:szCs w:val="22"/>
        </w:rPr>
        <w:t xml:space="preserve">: </w:t>
      </w:r>
    </w:p>
    <w:p w:rsidR="0086074E" w:rsidRPr="00A26F20" w:rsidRDefault="00874E50" w:rsidP="00E650A9">
      <w:pPr>
        <w:spacing w:line="240" w:lineRule="auto"/>
        <w:rPr>
          <w:sz w:val="22"/>
          <w:szCs w:val="22"/>
        </w:rPr>
      </w:pPr>
      <w:r w:rsidRPr="00A26F20">
        <w:rPr>
          <w:sz w:val="22"/>
          <w:szCs w:val="22"/>
        </w:rPr>
        <w:tab/>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TU</m:t>
            </m:r>
            <m:r>
              <m:rPr>
                <m:sty m:val="p"/>
              </m:rPr>
              <w:rPr>
                <w:rFonts w:ascii="Cambria Math" w:hAnsi="Cambria Math"/>
                <w:sz w:val="22"/>
                <w:szCs w:val="22"/>
              </w:rPr>
              <m:t>,</m:t>
            </m:r>
            <m:r>
              <w:rPr>
                <w:rFonts w:ascii="Cambria Math" w:hAnsi="Cambria Math"/>
                <w:sz w:val="22"/>
                <w:szCs w:val="22"/>
              </w:rPr>
              <m:t>i</m:t>
            </m:r>
          </m:sub>
        </m:sSub>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TU</m:t>
                </m:r>
                <m:r>
                  <m:rPr>
                    <m:sty m:val="p"/>
                  </m:rPr>
                  <w:rPr>
                    <w:rFonts w:ascii="Cambria Math" w:hAnsi="Cambria Math"/>
                    <w:sz w:val="22"/>
                    <w:szCs w:val="22"/>
                  </w:rPr>
                  <m:t>,</m:t>
                </m:r>
                <m:r>
                  <w:rPr>
                    <w:rFonts w:ascii="Cambria Math" w:hAnsi="Cambria Math"/>
                    <w:sz w:val="22"/>
                    <w:szCs w:val="22"/>
                  </w:rPr>
                  <m:t>i</m:t>
                </m:r>
              </m:sub>
            </m:sSub>
          </m:num>
          <m:den>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T</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T</m:t>
            </m:r>
          </m:sub>
        </m:sSub>
      </m:oMath>
      <w:r w:rsidRPr="00A26F20">
        <w:rPr>
          <w:sz w:val="22"/>
          <w:szCs w:val="22"/>
        </w:rPr>
        <w:t>,</w:t>
      </w:r>
      <w:r w:rsidRPr="00A26F20">
        <w:rPr>
          <w:sz w:val="22"/>
          <w:szCs w:val="22"/>
        </w:rPr>
        <w:tab/>
        <w:t>(2)</w:t>
      </w:r>
    </w:p>
    <w:p w:rsidR="00557696" w:rsidRPr="00A26F20" w:rsidRDefault="00874E50" w:rsidP="00E650A9">
      <w:pPr>
        <w:spacing w:line="240" w:lineRule="auto"/>
        <w:rPr>
          <w:sz w:val="22"/>
          <w:szCs w:val="22"/>
        </w:rPr>
      </w:pPr>
      <w:proofErr w:type="gramStart"/>
      <w:r w:rsidRPr="00A26F20">
        <w:rPr>
          <w:sz w:val="22"/>
          <w:szCs w:val="22"/>
        </w:rPr>
        <w:t>where</w:t>
      </w:r>
      <w:proofErr w:type="gramEnd"/>
      <w:r w:rsidRPr="00A26F20">
        <w:rPr>
          <w:sz w:val="22"/>
          <w:szCs w:val="22"/>
        </w:rPr>
        <w:t xml:space="preserve"> </w:t>
      </w:r>
      <w:proofErr w:type="spellStart"/>
      <w:r w:rsidRPr="00A26F20">
        <w:rPr>
          <w:i/>
          <w:sz w:val="22"/>
          <w:szCs w:val="22"/>
        </w:rPr>
        <w:t>m</w:t>
      </w:r>
      <w:r w:rsidRPr="00A26F20">
        <w:rPr>
          <w:i/>
          <w:sz w:val="22"/>
          <w:szCs w:val="22"/>
          <w:vertAlign w:val="subscript"/>
        </w:rPr>
        <w:t>T</w:t>
      </w:r>
      <w:proofErr w:type="spellEnd"/>
      <w:r w:rsidRPr="00A26F20">
        <w:rPr>
          <w:sz w:val="22"/>
          <w:szCs w:val="22"/>
        </w:rPr>
        <w:t xml:space="preserve"> is the mass of the tissue.</w:t>
      </w:r>
      <w:r w:rsidR="00557696" w:rsidRPr="00A26F20">
        <w:rPr>
          <w:sz w:val="22"/>
          <w:szCs w:val="22"/>
        </w:rPr>
        <w:t xml:space="preserve"> After the definition of </w:t>
      </w:r>
      <w:r w:rsidR="00723DDA" w:rsidRPr="00A26F20">
        <w:rPr>
          <w:sz w:val="22"/>
          <w:szCs w:val="22"/>
        </w:rPr>
        <w:t>“</w:t>
      </w:r>
      <w:r w:rsidR="00557696" w:rsidRPr="00A26F20">
        <w:rPr>
          <w:sz w:val="22"/>
          <w:szCs w:val="22"/>
        </w:rPr>
        <w:t>TU weighting factors</w:t>
      </w:r>
      <w:r w:rsidR="00723DDA" w:rsidRPr="00A26F20">
        <w:rPr>
          <w:sz w:val="22"/>
          <w:szCs w:val="22"/>
        </w:rPr>
        <w:t>”</w:t>
      </w:r>
      <w:r w:rsidR="00557696" w:rsidRPr="00A26F20">
        <w:rPr>
          <w:sz w:val="22"/>
          <w:szCs w:val="22"/>
        </w:rPr>
        <w:t>, alternative effective dose can be determined by the following expression:</w:t>
      </w:r>
    </w:p>
    <w:p w:rsidR="00557696" w:rsidRPr="00A26F20" w:rsidRDefault="00557696" w:rsidP="00E650A9">
      <w:pPr>
        <w:spacing w:line="240" w:lineRule="auto"/>
        <w:rPr>
          <w:sz w:val="22"/>
          <w:szCs w:val="22"/>
        </w:rPr>
      </w:pPr>
      <w:r w:rsidRPr="00A26F20">
        <w:rPr>
          <w:sz w:val="22"/>
          <w:szCs w:val="22"/>
        </w:rPr>
        <w:tab/>
      </w:r>
      <m:oMath>
        <m:r>
          <w:rPr>
            <w:rFonts w:ascii="Cambria Math" w:hAnsi="Cambria Math"/>
            <w:sz w:val="22"/>
            <w:szCs w:val="22"/>
          </w:rPr>
          <m:t>E=</m:t>
        </m:r>
        <m:nary>
          <m:naryPr>
            <m:chr m:val="∑"/>
            <m:limLoc m:val="subSup"/>
            <m:supHide m:val="1"/>
            <m:ctrlPr>
              <w:rPr>
                <w:rFonts w:ascii="Cambria Math" w:hAnsi="Cambria Math"/>
                <w:i/>
                <w:sz w:val="22"/>
                <w:szCs w:val="22"/>
              </w:rPr>
            </m:ctrlPr>
          </m:naryPr>
          <m:sub>
            <m:r>
              <w:rPr>
                <w:rFonts w:ascii="Cambria Math" w:hAnsi="Cambria Math"/>
                <w:sz w:val="22"/>
                <w:szCs w:val="22"/>
              </w:rPr>
              <m:t>i</m:t>
            </m:r>
          </m:sub>
          <m:sup/>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TU,i</m:t>
                </m:r>
              </m:sub>
            </m:sSub>
            <m:r>
              <w:rPr>
                <w:rFonts w:ascii="Cambria Math" w:hAnsi="Cambria Math"/>
                <w:sz w:val="22"/>
                <w:szCs w:val="22"/>
              </w:rPr>
              <m:t>∙</m:t>
            </m:r>
          </m:e>
        </m:nary>
        <m:nary>
          <m:naryPr>
            <m:chr m:val="∑"/>
            <m:limLoc m:val="undOvr"/>
            <m:supHide m:val="1"/>
            <m:ctrlPr>
              <w:rPr>
                <w:rFonts w:ascii="Cambria Math" w:hAnsi="Cambria Math"/>
                <w:i/>
                <w:sz w:val="22"/>
                <w:szCs w:val="22"/>
              </w:rPr>
            </m:ctrlPr>
          </m:naryPr>
          <m:sub>
            <m:r>
              <w:rPr>
                <w:rFonts w:ascii="Cambria Math" w:hAnsi="Cambria Math"/>
                <w:sz w:val="22"/>
                <w:szCs w:val="22"/>
              </w:rPr>
              <m:t>j</m:t>
            </m:r>
          </m:sub>
          <m:sup/>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i,j</m:t>
            </m:r>
          </m:sub>
        </m:sSub>
      </m:oMath>
      <w:r w:rsidRPr="00A26F20">
        <w:rPr>
          <w:sz w:val="22"/>
          <w:szCs w:val="22"/>
        </w:rPr>
        <w:t>,</w:t>
      </w:r>
      <w:r w:rsidRPr="00A26F20">
        <w:rPr>
          <w:sz w:val="22"/>
          <w:szCs w:val="22"/>
        </w:rPr>
        <w:tab/>
        <w:t>(3)</w:t>
      </w:r>
    </w:p>
    <w:p w:rsidR="00874E50" w:rsidRPr="00A26F20" w:rsidRDefault="00557696" w:rsidP="00E650A9">
      <w:pPr>
        <w:spacing w:line="240" w:lineRule="auto"/>
        <w:rPr>
          <w:sz w:val="22"/>
          <w:szCs w:val="22"/>
        </w:rPr>
      </w:pPr>
      <w:proofErr w:type="gramStart"/>
      <w:r w:rsidRPr="00A26F20">
        <w:rPr>
          <w:sz w:val="22"/>
          <w:szCs w:val="22"/>
        </w:rPr>
        <w:t>where</w:t>
      </w:r>
      <w:proofErr w:type="gramEnd"/>
      <w:r w:rsidRPr="00A26F20">
        <w:rPr>
          <w:sz w:val="22"/>
          <w:szCs w:val="22"/>
        </w:rPr>
        <w:t xml:space="preserve"> </w:t>
      </w:r>
      <w:proofErr w:type="spellStart"/>
      <w:r w:rsidRPr="00A26F20">
        <w:rPr>
          <w:i/>
          <w:sz w:val="22"/>
          <w:szCs w:val="22"/>
        </w:rPr>
        <w:t>w</w:t>
      </w:r>
      <w:r w:rsidRPr="00A26F20">
        <w:rPr>
          <w:i/>
          <w:sz w:val="22"/>
          <w:szCs w:val="22"/>
          <w:vertAlign w:val="subscript"/>
        </w:rPr>
        <w:t>R,j</w:t>
      </w:r>
      <w:proofErr w:type="spellEnd"/>
      <w:r w:rsidRPr="00A26F20">
        <w:rPr>
          <w:sz w:val="22"/>
          <w:szCs w:val="22"/>
        </w:rPr>
        <w:t xml:space="preserve"> is </w:t>
      </w:r>
      <w:r w:rsidR="00E02893" w:rsidRPr="00A26F20">
        <w:rPr>
          <w:sz w:val="22"/>
          <w:szCs w:val="22"/>
        </w:rPr>
        <w:t>the radiation weighting factor,</w:t>
      </w:r>
      <w:r w:rsidRPr="00A26F20">
        <w:rPr>
          <w:sz w:val="22"/>
          <w:szCs w:val="22"/>
        </w:rPr>
        <w:t xml:space="preserve"> </w:t>
      </w:r>
      <w:proofErr w:type="spellStart"/>
      <w:r w:rsidRPr="00A26F20">
        <w:rPr>
          <w:i/>
          <w:sz w:val="22"/>
          <w:szCs w:val="22"/>
        </w:rPr>
        <w:t>D</w:t>
      </w:r>
      <w:r w:rsidRPr="00A26F20">
        <w:rPr>
          <w:i/>
          <w:sz w:val="22"/>
          <w:szCs w:val="22"/>
          <w:vertAlign w:val="subscript"/>
        </w:rPr>
        <w:t>i,j</w:t>
      </w:r>
      <w:proofErr w:type="spellEnd"/>
      <w:r w:rsidRPr="00A26F20">
        <w:rPr>
          <w:sz w:val="22"/>
          <w:szCs w:val="22"/>
        </w:rPr>
        <w:t xml:space="preserve"> is the dose absorbed by the </w:t>
      </w:r>
      <w:proofErr w:type="spellStart"/>
      <w:r w:rsidRPr="00A26F20">
        <w:rPr>
          <w:i/>
          <w:sz w:val="22"/>
          <w:szCs w:val="22"/>
        </w:rPr>
        <w:t>i</w:t>
      </w:r>
      <w:r w:rsidRPr="00A26F20">
        <w:rPr>
          <w:i/>
          <w:sz w:val="22"/>
          <w:szCs w:val="22"/>
          <w:vertAlign w:val="superscript"/>
        </w:rPr>
        <w:t>th</w:t>
      </w:r>
      <w:proofErr w:type="spellEnd"/>
      <w:r w:rsidRPr="00A26F20">
        <w:rPr>
          <w:sz w:val="22"/>
          <w:szCs w:val="22"/>
        </w:rPr>
        <w:t xml:space="preserve">  TU from radiation type </w:t>
      </w:r>
      <w:r w:rsidRPr="00A26F20">
        <w:rPr>
          <w:i/>
          <w:sz w:val="22"/>
          <w:szCs w:val="22"/>
        </w:rPr>
        <w:t>j</w:t>
      </w:r>
      <w:r w:rsidR="00E02893" w:rsidRPr="00A26F20">
        <w:rPr>
          <w:sz w:val="22"/>
          <w:szCs w:val="22"/>
        </w:rPr>
        <w:t xml:space="preserve">, and so </w:t>
      </w:r>
      <m:oMath>
        <m:nary>
          <m:naryPr>
            <m:chr m:val="∑"/>
            <m:limLoc m:val="undOvr"/>
            <m:supHide m:val="1"/>
            <m:ctrlPr>
              <w:rPr>
                <w:rFonts w:ascii="Cambria Math" w:hAnsi="Cambria Math"/>
                <w:i/>
                <w:sz w:val="22"/>
                <w:szCs w:val="22"/>
              </w:rPr>
            </m:ctrlPr>
          </m:naryPr>
          <m:sub>
            <m:r>
              <w:rPr>
                <w:rFonts w:ascii="Cambria Math" w:hAnsi="Cambria Math"/>
                <w:sz w:val="22"/>
                <w:szCs w:val="22"/>
              </w:rPr>
              <m:t>j</m:t>
            </m:r>
          </m:sub>
          <m:sup/>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i,j</m:t>
            </m:r>
          </m:sub>
        </m:sSub>
      </m:oMath>
      <w:r w:rsidR="00E02893" w:rsidRPr="00A26F20">
        <w:rPr>
          <w:sz w:val="22"/>
          <w:szCs w:val="22"/>
        </w:rPr>
        <w:t xml:space="preserve"> is the equivalent dose (</w:t>
      </w:r>
      <w:r w:rsidR="00E02893" w:rsidRPr="00A26F20">
        <w:rPr>
          <w:i/>
          <w:sz w:val="22"/>
          <w:szCs w:val="22"/>
        </w:rPr>
        <w:t>H</w:t>
      </w:r>
      <w:r w:rsidR="00E02893" w:rsidRPr="00A26F20">
        <w:rPr>
          <w:i/>
          <w:sz w:val="22"/>
          <w:szCs w:val="22"/>
          <w:vertAlign w:val="subscript"/>
        </w:rPr>
        <w:t>E</w:t>
      </w:r>
      <w:r w:rsidR="00E02893" w:rsidRPr="00A26F20">
        <w:rPr>
          <w:sz w:val="22"/>
          <w:szCs w:val="22"/>
        </w:rPr>
        <w:t xml:space="preserve">) in the </w:t>
      </w:r>
      <w:proofErr w:type="spellStart"/>
      <w:r w:rsidR="00E02893" w:rsidRPr="00A26F20">
        <w:rPr>
          <w:i/>
          <w:sz w:val="22"/>
          <w:szCs w:val="22"/>
        </w:rPr>
        <w:t>i</w:t>
      </w:r>
      <w:r w:rsidR="00E02893" w:rsidRPr="00A26F20">
        <w:rPr>
          <w:i/>
          <w:sz w:val="22"/>
          <w:szCs w:val="22"/>
          <w:vertAlign w:val="superscript"/>
        </w:rPr>
        <w:t>th</w:t>
      </w:r>
      <w:proofErr w:type="spellEnd"/>
      <w:r w:rsidR="00E02893" w:rsidRPr="00A26F20">
        <w:rPr>
          <w:sz w:val="22"/>
          <w:szCs w:val="22"/>
        </w:rPr>
        <w:t xml:space="preserve">  TU</w:t>
      </w:r>
      <w:r w:rsidRPr="00A26F20">
        <w:rPr>
          <w:sz w:val="22"/>
          <w:szCs w:val="22"/>
        </w:rPr>
        <w:t>.</w:t>
      </w:r>
      <w:r w:rsidR="00723DDA" w:rsidRPr="00A26F20">
        <w:rPr>
          <w:sz w:val="22"/>
          <w:szCs w:val="22"/>
        </w:rPr>
        <w:t xml:space="preserve"> Here, it is supposed that only the lungs, but not the other organs are exposed.</w:t>
      </w:r>
    </w:p>
    <w:p w:rsidR="009E5251" w:rsidRPr="00A26F20" w:rsidRDefault="006368D2" w:rsidP="00E650A9">
      <w:pPr>
        <w:spacing w:line="240" w:lineRule="auto"/>
        <w:rPr>
          <w:sz w:val="22"/>
          <w:szCs w:val="22"/>
        </w:rPr>
      </w:pPr>
      <w:r w:rsidRPr="00A26F20">
        <w:rPr>
          <w:sz w:val="22"/>
          <w:szCs w:val="22"/>
        </w:rPr>
        <w:t xml:space="preserve">In microscopic level, </w:t>
      </w:r>
      <w:r w:rsidR="00A06D4D" w:rsidRPr="00A26F20">
        <w:rPr>
          <w:sz w:val="22"/>
          <w:szCs w:val="22"/>
        </w:rPr>
        <w:t xml:space="preserve">such effects </w:t>
      </w:r>
      <w:r w:rsidRPr="00A26F20">
        <w:rPr>
          <w:sz w:val="22"/>
          <w:szCs w:val="22"/>
        </w:rPr>
        <w:t xml:space="preserve">of ionizing radiation </w:t>
      </w:r>
      <w:r w:rsidR="00A06D4D" w:rsidRPr="00A26F20">
        <w:rPr>
          <w:sz w:val="22"/>
          <w:szCs w:val="22"/>
        </w:rPr>
        <w:t xml:space="preserve">can be observed </w:t>
      </w:r>
      <w:r w:rsidR="0095477B" w:rsidRPr="00A26F20">
        <w:rPr>
          <w:sz w:val="22"/>
          <w:szCs w:val="22"/>
        </w:rPr>
        <w:t xml:space="preserve">which </w:t>
      </w:r>
      <w:r w:rsidR="00A06D4D" w:rsidRPr="00A26F20">
        <w:rPr>
          <w:sz w:val="22"/>
          <w:szCs w:val="22"/>
        </w:rPr>
        <w:t>may be involved in carcinogenesis or other processes leading to stochastic effects</w:t>
      </w:r>
      <w:r w:rsidR="0095477B" w:rsidRPr="00A26F20">
        <w:rPr>
          <w:sz w:val="22"/>
          <w:szCs w:val="22"/>
        </w:rPr>
        <w:t>, but their extent is not proportional to dose</w:t>
      </w:r>
      <w:r w:rsidR="00A06D4D" w:rsidRPr="00A26F20">
        <w:rPr>
          <w:sz w:val="22"/>
          <w:szCs w:val="22"/>
        </w:rPr>
        <w:t xml:space="preserve">. </w:t>
      </w:r>
      <w:r w:rsidR="00095AA0" w:rsidRPr="00A26F20">
        <w:rPr>
          <w:sz w:val="22"/>
          <w:szCs w:val="22"/>
        </w:rPr>
        <w:t>T</w:t>
      </w:r>
      <w:r w:rsidR="00A06D4D" w:rsidRPr="00A26F20">
        <w:rPr>
          <w:sz w:val="22"/>
          <w:szCs w:val="22"/>
        </w:rPr>
        <w:t xml:space="preserve">he dose-effect relationships </w:t>
      </w:r>
      <w:r w:rsidR="00095AA0" w:rsidRPr="00A26F20">
        <w:rPr>
          <w:sz w:val="22"/>
          <w:szCs w:val="22"/>
        </w:rPr>
        <w:t xml:space="preserve">of </w:t>
      </w:r>
      <w:r w:rsidR="00723DDA" w:rsidRPr="00A26F20">
        <w:rPr>
          <w:sz w:val="22"/>
          <w:szCs w:val="22"/>
        </w:rPr>
        <w:t xml:space="preserve">most of </w:t>
      </w:r>
      <w:r w:rsidR="00095AA0" w:rsidRPr="00A26F20">
        <w:rPr>
          <w:sz w:val="22"/>
          <w:szCs w:val="22"/>
        </w:rPr>
        <w:t xml:space="preserve">these phenomena </w:t>
      </w:r>
      <w:r w:rsidR="00A06D4D" w:rsidRPr="00A26F20">
        <w:rPr>
          <w:sz w:val="22"/>
          <w:szCs w:val="22"/>
        </w:rPr>
        <w:t>are influenced</w:t>
      </w:r>
      <w:r w:rsidR="00095AA0" w:rsidRPr="00A26F20">
        <w:rPr>
          <w:sz w:val="22"/>
          <w:szCs w:val="22"/>
        </w:rPr>
        <w:t xml:space="preserve"> by many other factors than dose and </w:t>
      </w:r>
      <w:r w:rsidR="00AC562F" w:rsidRPr="00A26F20">
        <w:rPr>
          <w:sz w:val="22"/>
          <w:szCs w:val="22"/>
        </w:rPr>
        <w:t xml:space="preserve">therefore </w:t>
      </w:r>
      <w:r w:rsidR="00095AA0" w:rsidRPr="00A26F20">
        <w:rPr>
          <w:sz w:val="22"/>
          <w:szCs w:val="22"/>
        </w:rPr>
        <w:t xml:space="preserve">cannot be easily described. </w:t>
      </w:r>
      <w:r w:rsidR="00AC562F" w:rsidRPr="00A26F20">
        <w:rPr>
          <w:sz w:val="22"/>
          <w:szCs w:val="22"/>
        </w:rPr>
        <w:t xml:space="preserve">In the present study, </w:t>
      </w:r>
      <w:r w:rsidR="00723DDA" w:rsidRPr="00A26F20">
        <w:rPr>
          <w:sz w:val="22"/>
          <w:szCs w:val="22"/>
        </w:rPr>
        <w:t xml:space="preserve">however, </w:t>
      </w:r>
      <w:r w:rsidR="00AC562F" w:rsidRPr="00A26F20">
        <w:rPr>
          <w:sz w:val="22"/>
          <w:szCs w:val="22"/>
        </w:rPr>
        <w:t>it is not intended to consider quant</w:t>
      </w:r>
      <w:r w:rsidR="00AF75B7" w:rsidRPr="00A26F20">
        <w:rPr>
          <w:sz w:val="22"/>
          <w:szCs w:val="22"/>
        </w:rPr>
        <w:t>itatively precise relationships.</w:t>
      </w:r>
      <w:r w:rsidR="00AC562F" w:rsidRPr="00A26F20">
        <w:rPr>
          <w:sz w:val="22"/>
          <w:szCs w:val="22"/>
        </w:rPr>
        <w:t xml:space="preserve"> </w:t>
      </w:r>
      <w:r w:rsidR="00AF75B7" w:rsidRPr="00A26F20">
        <w:rPr>
          <w:sz w:val="22"/>
          <w:szCs w:val="22"/>
        </w:rPr>
        <w:t>R</w:t>
      </w:r>
      <w:r w:rsidR="00AC562F" w:rsidRPr="00A26F20">
        <w:rPr>
          <w:sz w:val="22"/>
          <w:szCs w:val="22"/>
        </w:rPr>
        <w:t>ather four basically different functions are investigated, which are non-linear below but linear over a threshold dose</w:t>
      </w:r>
      <w:r w:rsidR="00FC4613" w:rsidRPr="00A26F20">
        <w:rPr>
          <w:sz w:val="22"/>
          <w:szCs w:val="22"/>
        </w:rPr>
        <w:t>,</w:t>
      </w:r>
      <w:r w:rsidR="00AC562F" w:rsidRPr="00A26F20">
        <w:rPr>
          <w:sz w:val="22"/>
          <w:szCs w:val="22"/>
        </w:rPr>
        <w:t xml:space="preserve"> and may roughly describe the dependence of some biological quantities on dose. The</w:t>
      </w:r>
      <w:r w:rsidR="00FC4613" w:rsidRPr="00A26F20">
        <w:rPr>
          <w:sz w:val="22"/>
          <w:szCs w:val="22"/>
        </w:rPr>
        <w:t>se fu</w:t>
      </w:r>
      <w:r w:rsidR="00E02893" w:rsidRPr="00A26F20">
        <w:rPr>
          <w:sz w:val="22"/>
          <w:szCs w:val="22"/>
        </w:rPr>
        <w:t>nctions are summarized in table </w:t>
      </w:r>
      <w:r w:rsidR="00FC4613" w:rsidRPr="00A26F20">
        <w:rPr>
          <w:sz w:val="22"/>
          <w:szCs w:val="22"/>
        </w:rPr>
        <w:t>1 and plotted in f</w:t>
      </w:r>
      <w:r w:rsidR="00E02893" w:rsidRPr="00A26F20">
        <w:rPr>
          <w:sz w:val="22"/>
          <w:szCs w:val="22"/>
        </w:rPr>
        <w:t>igure 1</w:t>
      </w:r>
      <w:r w:rsidR="00AC562F" w:rsidRPr="00A26F20">
        <w:rPr>
          <w:sz w:val="22"/>
          <w:szCs w:val="22"/>
        </w:rPr>
        <w:t>.</w:t>
      </w:r>
    </w:p>
    <w:p w:rsidR="00E650A9" w:rsidRDefault="00E650A9" w:rsidP="00E650A9">
      <w:pPr>
        <w:spacing w:line="240" w:lineRule="auto"/>
        <w:rPr>
          <w:b/>
          <w:sz w:val="22"/>
          <w:szCs w:val="22"/>
        </w:rPr>
      </w:pPr>
    </w:p>
    <w:p w:rsidR="00881F4A" w:rsidRPr="00A26F20" w:rsidRDefault="00881F4A" w:rsidP="00E650A9">
      <w:pPr>
        <w:spacing w:line="240" w:lineRule="auto"/>
        <w:rPr>
          <w:sz w:val="22"/>
          <w:szCs w:val="22"/>
        </w:rPr>
      </w:pPr>
      <w:proofErr w:type="gramStart"/>
      <w:r w:rsidRPr="00A26F20">
        <w:rPr>
          <w:b/>
          <w:sz w:val="22"/>
          <w:szCs w:val="22"/>
        </w:rPr>
        <w:t>Table 1.</w:t>
      </w:r>
      <w:proofErr w:type="gramEnd"/>
      <w:r w:rsidRPr="00A26F20">
        <w:rPr>
          <w:sz w:val="22"/>
          <w:szCs w:val="22"/>
        </w:rPr>
        <w:t xml:space="preserve"> The non-linear functions applied </w:t>
      </w:r>
      <w:r w:rsidR="00A26F20">
        <w:rPr>
          <w:sz w:val="22"/>
          <w:szCs w:val="22"/>
        </w:rPr>
        <w:t>for</w:t>
      </w:r>
      <w:r w:rsidRPr="00A26F20">
        <w:rPr>
          <w:sz w:val="22"/>
          <w:szCs w:val="22"/>
        </w:rPr>
        <w:t xml:space="preserve"> alternative equivalent dose.</w:t>
      </w:r>
    </w:p>
    <w:tbl>
      <w:tblPr>
        <w:tblStyle w:val="Rcsostblzat"/>
        <w:tblW w:w="0" w:type="auto"/>
        <w:tblLook w:val="04A0" w:firstRow="1" w:lastRow="0" w:firstColumn="1" w:lastColumn="0" w:noHBand="0" w:noVBand="1"/>
      </w:tblPr>
      <w:tblGrid>
        <w:gridCol w:w="3085"/>
        <w:gridCol w:w="6203"/>
      </w:tblGrid>
      <w:tr w:rsidR="00FC4613" w:rsidRPr="00A26F20" w:rsidTr="00E71E4D">
        <w:tc>
          <w:tcPr>
            <w:tcW w:w="3085" w:type="dxa"/>
          </w:tcPr>
          <w:p w:rsidR="00FC4613" w:rsidRPr="00A26F20" w:rsidRDefault="00FC4613" w:rsidP="00E650A9">
            <w:pPr>
              <w:spacing w:line="240" w:lineRule="auto"/>
              <w:jc w:val="center"/>
              <w:rPr>
                <w:b/>
                <w:sz w:val="22"/>
                <w:szCs w:val="22"/>
              </w:rPr>
            </w:pPr>
            <w:r w:rsidRPr="00A26F20">
              <w:rPr>
                <w:b/>
                <w:sz w:val="22"/>
                <w:szCs w:val="22"/>
              </w:rPr>
              <w:t>Type</w:t>
            </w:r>
          </w:p>
        </w:tc>
        <w:tc>
          <w:tcPr>
            <w:tcW w:w="6203" w:type="dxa"/>
          </w:tcPr>
          <w:p w:rsidR="00FC4613" w:rsidRPr="00A26F20" w:rsidRDefault="0014618C" w:rsidP="00E650A9">
            <w:pPr>
              <w:spacing w:line="240" w:lineRule="auto"/>
              <w:jc w:val="center"/>
              <w:rPr>
                <w:b/>
                <w:sz w:val="22"/>
                <w:szCs w:val="22"/>
              </w:rPr>
            </w:pPr>
            <w:r w:rsidRPr="00A26F20">
              <w:rPr>
                <w:b/>
                <w:sz w:val="22"/>
                <w:szCs w:val="22"/>
              </w:rPr>
              <w:t>Alternative equivalent dose</w:t>
            </w:r>
          </w:p>
        </w:tc>
      </w:tr>
      <w:tr w:rsidR="00FC4613" w:rsidRPr="00A26F20" w:rsidTr="00E71E4D">
        <w:tc>
          <w:tcPr>
            <w:tcW w:w="3085" w:type="dxa"/>
          </w:tcPr>
          <w:p w:rsidR="00FC4613" w:rsidRPr="00A26F20" w:rsidRDefault="00FC4613" w:rsidP="00E650A9">
            <w:pPr>
              <w:spacing w:line="240" w:lineRule="auto"/>
              <w:jc w:val="center"/>
              <w:rPr>
                <w:sz w:val="22"/>
                <w:szCs w:val="22"/>
              </w:rPr>
            </w:pPr>
            <w:proofErr w:type="spellStart"/>
            <w:r w:rsidRPr="00A26F20">
              <w:rPr>
                <w:sz w:val="22"/>
                <w:szCs w:val="22"/>
              </w:rPr>
              <w:t>supralinear</w:t>
            </w:r>
            <w:proofErr w:type="spellEnd"/>
          </w:p>
        </w:tc>
        <w:tc>
          <w:tcPr>
            <w:tcW w:w="6203" w:type="dxa"/>
          </w:tcPr>
          <w:p w:rsidR="00FC4613"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r>
                      <w:rPr>
                        <w:rFonts w:ascii="Cambria Math" w:hAnsi="Cambria Math"/>
                        <w:sz w:val="22"/>
                        <w:szCs w:val="22"/>
                      </w:rPr>
                      <m:t>D</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m:t>
                    </m:r>
                  </m:sub>
                </m:sSub>
                <m:r>
                  <w:rPr>
                    <w:rFonts w:ascii="Cambria Math" w:hAnsi="Cambria Math"/>
                    <w:sz w:val="22"/>
                    <w:szCs w:val="22"/>
                  </w:rPr>
                  <m:t>∙D∙</m:t>
                </m:r>
                <m:d>
                  <m:dPr>
                    <m:ctrlPr>
                      <w:rPr>
                        <w:rFonts w:ascii="Cambria Math" w:hAnsi="Cambria Math"/>
                        <w:i/>
                        <w:sz w:val="22"/>
                        <w:szCs w:val="22"/>
                      </w:rPr>
                    </m:ctrlPr>
                  </m:dPr>
                  <m:e>
                    <m:r>
                      <w:rPr>
                        <w:rFonts w:ascii="Cambria Math" w:hAnsi="Cambria Math"/>
                        <w:sz w:val="22"/>
                        <w:szCs w:val="22"/>
                      </w:rPr>
                      <m:t>1+</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-36∙D</m:t>
                        </m:r>
                      </m:e>
                    </m:d>
                  </m:e>
                </m:d>
              </m:oMath>
            </m:oMathPara>
          </w:p>
        </w:tc>
      </w:tr>
      <w:tr w:rsidR="00FC4613" w:rsidRPr="00A26F20" w:rsidTr="00E71E4D">
        <w:tc>
          <w:tcPr>
            <w:tcW w:w="3085" w:type="dxa"/>
          </w:tcPr>
          <w:p w:rsidR="00FC4613" w:rsidRPr="00A26F20" w:rsidRDefault="00FC4613" w:rsidP="00E650A9">
            <w:pPr>
              <w:spacing w:line="240" w:lineRule="auto"/>
              <w:jc w:val="center"/>
              <w:rPr>
                <w:sz w:val="22"/>
                <w:szCs w:val="22"/>
              </w:rPr>
            </w:pPr>
            <w:proofErr w:type="spellStart"/>
            <w:r w:rsidRPr="00A26F20">
              <w:rPr>
                <w:sz w:val="22"/>
                <w:szCs w:val="22"/>
              </w:rPr>
              <w:lastRenderedPageBreak/>
              <w:t>sublinear</w:t>
            </w:r>
            <w:proofErr w:type="spellEnd"/>
          </w:p>
        </w:tc>
        <w:tc>
          <w:tcPr>
            <w:tcW w:w="6203" w:type="dxa"/>
          </w:tcPr>
          <w:p w:rsidR="00FC4613"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r>
                      <w:rPr>
                        <w:rFonts w:ascii="Cambria Math" w:hAnsi="Cambria Math"/>
                        <w:sz w:val="22"/>
                        <w:szCs w:val="22"/>
                      </w:rPr>
                      <m:t>D</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m:t>
                    </m:r>
                  </m:sub>
                </m:sSub>
                <m:r>
                  <w:rPr>
                    <w:rFonts w:ascii="Cambria Math" w:hAnsi="Cambria Math"/>
                    <w:sz w:val="22"/>
                    <w:szCs w:val="22"/>
                  </w:rPr>
                  <m:t>∙D∙</m:t>
                </m:r>
                <m:d>
                  <m:dPr>
                    <m:ctrlPr>
                      <w:rPr>
                        <w:rFonts w:ascii="Cambria Math" w:hAnsi="Cambria Math"/>
                        <w:i/>
                        <w:sz w:val="22"/>
                        <w:szCs w:val="22"/>
                      </w:rPr>
                    </m:ctrlPr>
                  </m:dPr>
                  <m:e>
                    <m:r>
                      <w:rPr>
                        <w:rFonts w:ascii="Cambria Math" w:hAnsi="Cambria Math"/>
                        <w:sz w:val="22"/>
                        <w:szCs w:val="22"/>
                      </w:rPr>
                      <m:t>1-</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-36∙D</m:t>
                        </m:r>
                      </m:e>
                    </m:d>
                  </m:e>
                </m:d>
              </m:oMath>
            </m:oMathPara>
          </w:p>
        </w:tc>
      </w:tr>
      <w:tr w:rsidR="00FC4613" w:rsidRPr="00A26F20" w:rsidTr="00E71E4D">
        <w:tc>
          <w:tcPr>
            <w:tcW w:w="3085" w:type="dxa"/>
          </w:tcPr>
          <w:p w:rsidR="00FC4613" w:rsidRPr="00A26F20" w:rsidRDefault="00FC4613" w:rsidP="00E650A9">
            <w:pPr>
              <w:spacing w:line="240" w:lineRule="auto"/>
              <w:jc w:val="center"/>
              <w:rPr>
                <w:sz w:val="22"/>
                <w:szCs w:val="22"/>
              </w:rPr>
            </w:pPr>
            <w:proofErr w:type="spellStart"/>
            <w:r w:rsidRPr="00A26F20">
              <w:rPr>
                <w:sz w:val="22"/>
                <w:szCs w:val="22"/>
              </w:rPr>
              <w:t>biopositive</w:t>
            </w:r>
            <w:proofErr w:type="spellEnd"/>
          </w:p>
        </w:tc>
        <w:tc>
          <w:tcPr>
            <w:tcW w:w="6203" w:type="dxa"/>
          </w:tcPr>
          <w:p w:rsidR="00FC4613"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r>
                      <w:rPr>
                        <w:rFonts w:ascii="Cambria Math" w:hAnsi="Cambria Math"/>
                        <w:sz w:val="22"/>
                        <w:szCs w:val="22"/>
                      </w:rPr>
                      <m:t>D</m:t>
                    </m:r>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m:t>
                    </m:r>
                  </m:sub>
                </m:sSub>
                <m:r>
                  <w:rPr>
                    <w:rFonts w:ascii="Cambria Math" w:hAnsi="Cambria Math"/>
                    <w:sz w:val="22"/>
                    <w:szCs w:val="22"/>
                  </w:rPr>
                  <m:t>∙D∙</m:t>
                </m:r>
                <m:d>
                  <m:dPr>
                    <m:ctrlPr>
                      <w:rPr>
                        <w:rFonts w:ascii="Cambria Math" w:hAnsi="Cambria Math"/>
                        <w:i/>
                        <w:sz w:val="22"/>
                        <w:szCs w:val="22"/>
                      </w:rPr>
                    </m:ctrlPr>
                  </m:dPr>
                  <m:e>
                    <m:r>
                      <w:rPr>
                        <w:rFonts w:ascii="Cambria Math" w:hAnsi="Cambria Math"/>
                        <w:sz w:val="22"/>
                        <w:szCs w:val="22"/>
                      </w:rPr>
                      <m:t>1-10∙</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-72∙D</m:t>
                        </m:r>
                      </m:e>
                    </m:d>
                  </m:e>
                </m:d>
              </m:oMath>
            </m:oMathPara>
          </w:p>
        </w:tc>
      </w:tr>
      <w:tr w:rsidR="00FC4613" w:rsidRPr="00A26F20" w:rsidTr="00E71E4D">
        <w:tc>
          <w:tcPr>
            <w:tcW w:w="3085" w:type="dxa"/>
          </w:tcPr>
          <w:p w:rsidR="00FC4613" w:rsidRPr="00A26F20" w:rsidRDefault="00FC4613" w:rsidP="00E650A9">
            <w:pPr>
              <w:spacing w:line="240" w:lineRule="auto"/>
              <w:jc w:val="center"/>
              <w:rPr>
                <w:sz w:val="22"/>
                <w:szCs w:val="22"/>
              </w:rPr>
            </w:pPr>
            <w:r w:rsidRPr="00A26F20">
              <w:rPr>
                <w:sz w:val="22"/>
                <w:szCs w:val="22"/>
              </w:rPr>
              <w:t>threshold</w:t>
            </w:r>
          </w:p>
        </w:tc>
        <w:tc>
          <w:tcPr>
            <w:tcW w:w="6203" w:type="dxa"/>
          </w:tcPr>
          <w:p w:rsidR="00FC4613"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r>
                      <w:rPr>
                        <w:rFonts w:ascii="Cambria Math" w:hAnsi="Cambria Math"/>
                        <w:sz w:val="22"/>
                        <w:szCs w:val="22"/>
                      </w:rPr>
                      <m:t>D</m:t>
                    </m: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r>
                          <w:rPr>
                            <w:rFonts w:ascii="Cambria Math" w:hAnsi="Cambria Math"/>
                            <w:sz w:val="22"/>
                            <w:szCs w:val="22"/>
                          </w:rPr>
                          <m:t xml:space="preserve">0,                                                          </m:t>
                        </m:r>
                        <m:r>
                          <m:rPr>
                            <m:sty m:val="p"/>
                          </m:rPr>
                          <w:rPr>
                            <w:rFonts w:ascii="Cambria Math" w:hAnsi="Cambria Math"/>
                            <w:sz w:val="22"/>
                            <w:szCs w:val="22"/>
                          </w:rPr>
                          <m:t>if</m:t>
                        </m:r>
                        <m:r>
                          <w:rPr>
                            <w:rFonts w:ascii="Cambria Math" w:hAnsi="Cambria Math"/>
                            <w:sz w:val="22"/>
                            <w:szCs w:val="22"/>
                          </w:rPr>
                          <m:t xml:space="preserve"> D≤96 </m:t>
                        </m:r>
                        <m:r>
                          <m:rPr>
                            <m:sty m:val="p"/>
                          </m:rPr>
                          <w:rPr>
                            <w:rFonts w:ascii="Cambria Math" w:hAnsi="Cambria Math"/>
                            <w:sz w:val="22"/>
                            <w:szCs w:val="22"/>
                          </w:rPr>
                          <m:t>mGy</m:t>
                        </m:r>
                      </m:e>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m:t>
                            </m:r>
                          </m:sub>
                        </m:sSub>
                        <m:r>
                          <w:rPr>
                            <w:rFonts w:ascii="Cambria Math" w:hAnsi="Cambria Math"/>
                            <w:sz w:val="22"/>
                            <w:szCs w:val="22"/>
                          </w:rPr>
                          <m:t>∙D∙</m:t>
                        </m:r>
                        <m:d>
                          <m:dPr>
                            <m:ctrlPr>
                              <w:rPr>
                                <w:rFonts w:ascii="Cambria Math" w:hAnsi="Cambria Math"/>
                                <w:i/>
                                <w:sz w:val="22"/>
                                <w:szCs w:val="22"/>
                              </w:rPr>
                            </m:ctrlPr>
                          </m:dPr>
                          <m:e>
                            <m:r>
                              <w:rPr>
                                <w:rFonts w:ascii="Cambria Math" w:hAnsi="Cambria Math"/>
                                <w:sz w:val="22"/>
                                <w:szCs w:val="22"/>
                              </w:rPr>
                              <m:t>1-10∙</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-24∙D</m:t>
                                </m:r>
                              </m:e>
                            </m:d>
                          </m:e>
                        </m:d>
                        <m:r>
                          <w:rPr>
                            <w:rFonts w:ascii="Cambria Math" w:hAnsi="Cambria Math"/>
                            <w:sz w:val="22"/>
                            <w:szCs w:val="22"/>
                          </w:rPr>
                          <m:t xml:space="preserve">, </m:t>
                        </m:r>
                        <m:r>
                          <m:rPr>
                            <m:sty m:val="p"/>
                          </m:rPr>
                          <w:rPr>
                            <w:rFonts w:ascii="Cambria Math" w:hAnsi="Cambria Math"/>
                            <w:sz w:val="22"/>
                            <w:szCs w:val="22"/>
                          </w:rPr>
                          <m:t>if</m:t>
                        </m:r>
                        <m:r>
                          <w:rPr>
                            <w:rFonts w:ascii="Cambria Math" w:hAnsi="Cambria Math"/>
                            <w:sz w:val="22"/>
                            <w:szCs w:val="22"/>
                          </w:rPr>
                          <m:t xml:space="preserve"> D&gt;96 </m:t>
                        </m:r>
                        <m:r>
                          <m:rPr>
                            <m:sty m:val="p"/>
                          </m:rPr>
                          <w:rPr>
                            <w:rFonts w:ascii="Cambria Math" w:hAnsi="Cambria Math"/>
                            <w:sz w:val="22"/>
                            <w:szCs w:val="22"/>
                          </w:rPr>
                          <m:t>mGy</m:t>
                        </m:r>
                      </m:e>
                    </m:eqArr>
                  </m:e>
                </m:d>
              </m:oMath>
            </m:oMathPara>
          </w:p>
        </w:tc>
      </w:tr>
    </w:tbl>
    <w:p w:rsidR="00A114A4" w:rsidRPr="00A26F20" w:rsidRDefault="00E04FE8" w:rsidP="00E650A9">
      <w:pPr>
        <w:keepNext/>
        <w:spacing w:line="240" w:lineRule="auto"/>
        <w:jc w:val="center"/>
        <w:rPr>
          <w:sz w:val="22"/>
          <w:szCs w:val="22"/>
        </w:rPr>
      </w:pPr>
      <w:r w:rsidRPr="00A26F20">
        <w:rPr>
          <w:noProof/>
          <w:sz w:val="22"/>
          <w:szCs w:val="22"/>
          <w:lang w:val="hu-HU" w:eastAsia="hu-HU"/>
        </w:rPr>
        <w:drawing>
          <wp:inline distT="0" distB="0" distL="0" distR="0" wp14:anchorId="4AD2DCAF" wp14:editId="16690C14">
            <wp:extent cx="4140000" cy="3147897"/>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_eq_dose_alpha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40000" cy="3147897"/>
                    </a:xfrm>
                    <a:prstGeom prst="rect">
                      <a:avLst/>
                    </a:prstGeom>
                  </pic:spPr>
                </pic:pic>
              </a:graphicData>
            </a:graphic>
          </wp:inline>
        </w:drawing>
      </w:r>
    </w:p>
    <w:p w:rsidR="00A114A4" w:rsidRPr="00A26F20" w:rsidRDefault="00A114A4" w:rsidP="00E650A9">
      <w:pPr>
        <w:pStyle w:val="Kpalrs"/>
        <w:rPr>
          <w:b w:val="0"/>
          <w:color w:val="auto"/>
          <w:sz w:val="22"/>
          <w:szCs w:val="22"/>
        </w:rPr>
      </w:pPr>
      <w:proofErr w:type="gramStart"/>
      <w:r w:rsidRPr="00A26F20">
        <w:rPr>
          <w:color w:val="auto"/>
          <w:sz w:val="22"/>
          <w:szCs w:val="22"/>
        </w:rPr>
        <w:t xml:space="preserve">Figure </w:t>
      </w:r>
      <w:r w:rsidRPr="00A26F20">
        <w:rPr>
          <w:color w:val="auto"/>
          <w:sz w:val="22"/>
          <w:szCs w:val="22"/>
        </w:rPr>
        <w:fldChar w:fldCharType="begin"/>
      </w:r>
      <w:r w:rsidRPr="00A26F20">
        <w:rPr>
          <w:color w:val="auto"/>
          <w:sz w:val="22"/>
          <w:szCs w:val="22"/>
        </w:rPr>
        <w:instrText xml:space="preserve"> SEQ Figure \* ARABIC </w:instrText>
      </w:r>
      <w:r w:rsidRPr="00A26F20">
        <w:rPr>
          <w:color w:val="auto"/>
          <w:sz w:val="22"/>
          <w:szCs w:val="22"/>
        </w:rPr>
        <w:fldChar w:fldCharType="separate"/>
      </w:r>
      <w:r w:rsidR="007862EC" w:rsidRPr="00A26F20">
        <w:rPr>
          <w:noProof/>
          <w:color w:val="auto"/>
          <w:sz w:val="22"/>
          <w:szCs w:val="22"/>
        </w:rPr>
        <w:t>1</w:t>
      </w:r>
      <w:r w:rsidRPr="00A26F20">
        <w:rPr>
          <w:color w:val="auto"/>
          <w:sz w:val="22"/>
          <w:szCs w:val="22"/>
        </w:rPr>
        <w:fldChar w:fldCharType="end"/>
      </w:r>
      <w:r w:rsidRPr="00A26F20">
        <w:rPr>
          <w:color w:val="auto"/>
          <w:sz w:val="22"/>
          <w:szCs w:val="22"/>
        </w:rPr>
        <w:t>.</w:t>
      </w:r>
      <w:proofErr w:type="gramEnd"/>
      <w:r w:rsidRPr="00A26F20">
        <w:rPr>
          <w:b w:val="0"/>
          <w:color w:val="auto"/>
          <w:sz w:val="22"/>
          <w:szCs w:val="22"/>
        </w:rPr>
        <w:t xml:space="preserve"> The functions applied in the determination of alternative equivalent and effective dose, if the </w:t>
      </w:r>
      <w:r w:rsidR="00AE12FD" w:rsidRPr="00A26F20">
        <w:rPr>
          <w:b w:val="0"/>
          <w:color w:val="auto"/>
          <w:sz w:val="22"/>
          <w:szCs w:val="22"/>
        </w:rPr>
        <w:t xml:space="preserve">tissue is exposed </w:t>
      </w:r>
      <w:r w:rsidR="00A26F20" w:rsidRPr="00A26F20">
        <w:rPr>
          <w:b w:val="0"/>
          <w:color w:val="auto"/>
          <w:sz w:val="22"/>
          <w:szCs w:val="22"/>
        </w:rPr>
        <w:t xml:space="preserve">only </w:t>
      </w:r>
      <w:r w:rsidR="00AE12FD" w:rsidRPr="00A26F20">
        <w:rPr>
          <w:b w:val="0"/>
          <w:color w:val="auto"/>
          <w:sz w:val="22"/>
          <w:szCs w:val="22"/>
        </w:rPr>
        <w:t>to α-particles</w:t>
      </w:r>
      <w:r w:rsidRPr="00A26F20">
        <w:rPr>
          <w:b w:val="0"/>
          <w:color w:val="auto"/>
          <w:sz w:val="22"/>
          <w:szCs w:val="22"/>
        </w:rPr>
        <w:t>.</w:t>
      </w:r>
    </w:p>
    <w:p w:rsidR="00876684" w:rsidRPr="00A26F20" w:rsidRDefault="00A26F20" w:rsidP="00E650A9">
      <w:pPr>
        <w:spacing w:line="240" w:lineRule="auto"/>
        <w:rPr>
          <w:sz w:val="22"/>
          <w:szCs w:val="22"/>
        </w:rPr>
      </w:pPr>
      <w:r>
        <w:rPr>
          <w:sz w:val="22"/>
          <w:szCs w:val="22"/>
        </w:rPr>
        <w:t>The computation time needed for t</w:t>
      </w:r>
      <w:r w:rsidR="00F55D3E" w:rsidRPr="00A26F20">
        <w:rPr>
          <w:sz w:val="22"/>
          <w:szCs w:val="22"/>
        </w:rPr>
        <w:t xml:space="preserve">he determination of </w:t>
      </w:r>
      <w:r>
        <w:rPr>
          <w:sz w:val="22"/>
          <w:szCs w:val="22"/>
        </w:rPr>
        <w:t>α-track</w:t>
      </w:r>
      <w:r w:rsidRPr="00A26F20">
        <w:rPr>
          <w:sz w:val="22"/>
          <w:szCs w:val="22"/>
        </w:rPr>
        <w:t xml:space="preserve"> </w:t>
      </w:r>
      <w:r w:rsidR="00F55D3E" w:rsidRPr="00A26F20">
        <w:rPr>
          <w:sz w:val="22"/>
          <w:szCs w:val="22"/>
        </w:rPr>
        <w:t xml:space="preserve">distribution </w:t>
      </w:r>
      <w:r>
        <w:rPr>
          <w:sz w:val="22"/>
          <w:szCs w:val="22"/>
        </w:rPr>
        <w:t>increases by the number of inhaled particles simulated</w:t>
      </w:r>
      <w:r w:rsidR="00F55D3E" w:rsidRPr="00A26F20">
        <w:rPr>
          <w:sz w:val="22"/>
          <w:szCs w:val="22"/>
        </w:rPr>
        <w:t>. Existing data obtained from earlier simulations correspond only to 0.0129 WLM and approximately 0.5 </w:t>
      </w:r>
      <w:proofErr w:type="spellStart"/>
      <w:r w:rsidR="00F55D3E" w:rsidRPr="00A26F20">
        <w:rPr>
          <w:sz w:val="22"/>
          <w:szCs w:val="22"/>
        </w:rPr>
        <w:t>mGy</w:t>
      </w:r>
      <w:proofErr w:type="spellEnd"/>
      <w:r w:rsidR="00F55D3E" w:rsidRPr="00A26F20">
        <w:rPr>
          <w:sz w:val="22"/>
          <w:szCs w:val="22"/>
        </w:rPr>
        <w:t xml:space="preserve"> mean tissue </w:t>
      </w:r>
      <w:r w:rsidR="002D75CA" w:rsidRPr="00A26F20">
        <w:rPr>
          <w:sz w:val="22"/>
          <w:szCs w:val="22"/>
        </w:rPr>
        <w:t xml:space="preserve">dose </w:t>
      </w:r>
      <w:r w:rsidR="00F55D3E" w:rsidRPr="00A26F20">
        <w:rPr>
          <w:sz w:val="22"/>
          <w:szCs w:val="22"/>
        </w:rPr>
        <w:fldChar w:fldCharType="begin"/>
      </w:r>
      <w:r w:rsidR="00F55D3E" w:rsidRPr="00A26F20">
        <w:rPr>
          <w:sz w:val="22"/>
          <w:szCs w:val="22"/>
        </w:rPr>
        <w:instrText xml:space="preserve"> ADDIN EN.CITE &lt;EndNote&gt;&lt;Cite&gt;&lt;Author&gt;Madas&lt;/Author&gt;&lt;Year&gt;2011&lt;/Year&gt;&lt;IDText&gt;Cellular burdens and biological effects on tissue level caused by inhaled radon progenies&lt;/IDText&gt;&lt;DisplayText&gt;(Madas et al., 2011, Szőke et al., 2009)&lt;/DisplayText&gt;&lt;record&gt;&lt;dates&gt;&lt;pub-dates&gt;&lt;date&gt;2011&lt;/date&gt;&lt;/pub-dates&gt;&lt;year&gt;2011&lt;/year&gt;&lt;/dates&gt;&lt;titles&gt;&lt;title&gt;Cellular burdens and biological effects on tissue level caused by inhaled radon progenies&lt;/title&gt;&lt;secondary-title&gt;Radiation Protection Dosimetry&lt;/secondary-title&gt;&lt;/titles&gt;&lt;pages&gt;253-257&lt;/pages&gt;&lt;number&gt;2-4&lt;/number&gt;&lt;contributors&gt;&lt;authors&gt;&lt;author&gt;Madas, B G&lt;/author&gt;&lt;author&gt;Balásházy, I&lt;/author&gt;&lt;author&gt;Farkas, Á&lt;/author&gt;&lt;author&gt;Szőke, I&lt;/author&gt;&lt;/authors&gt;&lt;/contributors&gt;&lt;added-date format="utc"&gt;1301301139&lt;/added-date&gt;&lt;ref-type name="Journal Article"&gt;17&lt;/ref-type&gt;&lt;rec-number&gt;196&lt;/rec-number&gt;&lt;last-updated-date format="utc"&gt;1314006502&lt;/last-updated-date&gt;&lt;accession-num&gt;WOS:000288022300024&lt;/accession-num&gt;&lt;electronic-resource-num&gt;10.1093/rpd/ncq522&lt;/electronic-resource-num&gt;&lt;volume&gt;143&lt;/volume&gt;&lt;num-vols&gt;0144-8420&lt;/num-vols&gt;&lt;/record&gt;&lt;/Cite&gt;&lt;Cite&gt;&lt;Author&gt;Szőke&lt;/Author&gt;&lt;Year&gt;2009&lt;/Year&gt;&lt;IDText&gt;Stochastic aspects of primary cellular consequences of radon inhalation&lt;/IDText&gt;&lt;record&gt;&lt;dates&gt;&lt;pub-dates&gt;&lt;date&gt;Jan&lt;/date&gt;&lt;/pub-dates&gt;&lt;year&gt;2009&lt;/year&gt;&lt;/dates&gt;&lt;urls&gt;&lt;related-urls&gt;&lt;url&gt;&amp;lt;Go to ISI&amp;gt;://000262187700010&lt;/url&gt;&lt;/related-urls&gt;&lt;/urls&gt;&lt;isbn&gt;0033-7587&lt;/isbn&gt;&lt;titles&gt;&lt;title&gt;Stochastic aspects of primary cellular consequences of radon inhalation&lt;/title&gt;&lt;secondary-title&gt;Radiation Research&lt;/secondary-title&gt;&lt;/titles&gt;&lt;pages&gt;96-106&lt;/pages&gt;&lt;number&gt;1&lt;/number&gt;&lt;contributors&gt;&lt;authors&gt;&lt;author&gt;Szőke, I.&lt;/author&gt;&lt;author&gt;Farkas, Á.&lt;/author&gt;&lt;author&gt;Balásházy, I.&lt;/author&gt;&lt;author&gt;Hofmann, W.&lt;/author&gt;&lt;/authors&gt;&lt;/contributors&gt;&lt;added-date format="utc"&gt;1286527537&lt;/added-date&gt;&lt;ref-type name="Journal Article"&gt;17&lt;/ref-type&gt;&lt;rec-number&gt;156&lt;/rec-number&gt;&lt;last-updated-date format="utc"&gt;1286527624&lt;/last-updated-date&gt;&lt;accession-num&gt;ISI:000262187700010&lt;/accession-num&gt;&lt;volume&gt;171&lt;/volume&gt;&lt;/record&gt;&lt;/Cite&gt;&lt;/EndNote&gt;</w:instrText>
      </w:r>
      <w:r w:rsidR="00F55D3E" w:rsidRPr="00A26F20">
        <w:rPr>
          <w:sz w:val="22"/>
          <w:szCs w:val="22"/>
        </w:rPr>
        <w:fldChar w:fldCharType="separate"/>
      </w:r>
      <w:r w:rsidR="00F55D3E" w:rsidRPr="00A26F20">
        <w:rPr>
          <w:noProof/>
          <w:sz w:val="22"/>
          <w:szCs w:val="22"/>
        </w:rPr>
        <w:t>(Madas et al., 2011, Szőke et al., 2009)</w:t>
      </w:r>
      <w:r w:rsidR="00F55D3E" w:rsidRPr="00A26F20">
        <w:rPr>
          <w:sz w:val="22"/>
          <w:szCs w:val="22"/>
        </w:rPr>
        <w:fldChar w:fldCharType="end"/>
      </w:r>
      <w:r w:rsidR="00F55D3E" w:rsidRPr="00A26F20">
        <w:rPr>
          <w:sz w:val="22"/>
          <w:szCs w:val="22"/>
        </w:rPr>
        <w:t xml:space="preserve">. At this exposure, a significant number of TUs is not hit by α-particles. To investigate the dose-effect relationship </w:t>
      </w:r>
      <w:r w:rsidR="00C36CBA" w:rsidRPr="00A26F20">
        <w:rPr>
          <w:sz w:val="22"/>
          <w:szCs w:val="22"/>
        </w:rPr>
        <w:t>in a wider range than 0-0.5 </w:t>
      </w:r>
      <w:proofErr w:type="spellStart"/>
      <w:r w:rsidR="00C36CBA" w:rsidRPr="00A26F20">
        <w:rPr>
          <w:sz w:val="22"/>
          <w:szCs w:val="22"/>
        </w:rPr>
        <w:t>mGy</w:t>
      </w:r>
      <w:proofErr w:type="spellEnd"/>
      <w:r w:rsidR="00C36CBA" w:rsidRPr="00A26F20">
        <w:rPr>
          <w:sz w:val="22"/>
          <w:szCs w:val="22"/>
        </w:rPr>
        <w:t xml:space="preserve">, extrapolation is necessary. For the sake of simplicity, it is estimated that the hit number distribution among TUs does not change with exposure over 0.0129 WLM. This is certainly not true because of the non-hit TUs, </w:t>
      </w:r>
      <w:r w:rsidR="00770DA4" w:rsidRPr="00A26F20">
        <w:rPr>
          <w:sz w:val="22"/>
          <w:szCs w:val="22"/>
        </w:rPr>
        <w:t>and may lead to false conclusions</w:t>
      </w:r>
      <w:r w:rsidR="00876684" w:rsidRPr="00A26F20">
        <w:rPr>
          <w:sz w:val="22"/>
          <w:szCs w:val="22"/>
        </w:rPr>
        <w:t>.</w:t>
      </w:r>
    </w:p>
    <w:p w:rsidR="00F55D3E" w:rsidRDefault="00770DA4" w:rsidP="00E650A9">
      <w:pPr>
        <w:spacing w:line="240" w:lineRule="auto"/>
        <w:rPr>
          <w:sz w:val="22"/>
          <w:szCs w:val="22"/>
        </w:rPr>
      </w:pPr>
      <w:r w:rsidRPr="00A26F20">
        <w:rPr>
          <w:sz w:val="22"/>
          <w:szCs w:val="22"/>
        </w:rPr>
        <w:t xml:space="preserve">The effect of non-hit TUs can be investigated by </w:t>
      </w:r>
      <w:r w:rsidR="00B56507" w:rsidRPr="00A26F20">
        <w:rPr>
          <w:sz w:val="22"/>
          <w:szCs w:val="22"/>
        </w:rPr>
        <w:t>adding a homogeneous dose distribution to the inhomogeneous one.</w:t>
      </w:r>
      <w:r w:rsidR="000C21B6" w:rsidRPr="00A26F20">
        <w:rPr>
          <w:sz w:val="22"/>
          <w:szCs w:val="22"/>
        </w:rPr>
        <w:t xml:space="preserve"> Therefore, a β-radiation exposure supposed to be homogeneous in the lungs is considered in another simulation. The ratio of mean tissue dose due to α- and β-radiation </w:t>
      </w:r>
      <w:r w:rsidR="004F41EA" w:rsidRPr="00A26F20">
        <w:rPr>
          <w:sz w:val="22"/>
          <w:szCs w:val="22"/>
        </w:rPr>
        <w:t xml:space="preserve">(0.7/0.3) </w:t>
      </w:r>
      <w:r w:rsidR="000C21B6" w:rsidRPr="00A26F20">
        <w:rPr>
          <w:sz w:val="22"/>
          <w:szCs w:val="22"/>
        </w:rPr>
        <w:t xml:space="preserve">is obtained from the </w:t>
      </w:r>
      <w:r w:rsidR="004F41EA" w:rsidRPr="00A26F20">
        <w:rPr>
          <w:sz w:val="22"/>
          <w:szCs w:val="22"/>
        </w:rPr>
        <w:t>computation</w:t>
      </w:r>
      <w:r w:rsidR="00100D40" w:rsidRPr="00A26F20">
        <w:rPr>
          <w:sz w:val="22"/>
          <w:szCs w:val="22"/>
        </w:rPr>
        <w:t>s</w:t>
      </w:r>
      <w:r w:rsidR="004F41EA" w:rsidRPr="00A26F20">
        <w:rPr>
          <w:sz w:val="22"/>
          <w:szCs w:val="22"/>
        </w:rPr>
        <w:t xml:space="preserve"> performed by </w:t>
      </w:r>
      <w:proofErr w:type="spellStart"/>
      <w:r w:rsidR="00100D40" w:rsidRPr="00A26F20">
        <w:rPr>
          <w:sz w:val="22"/>
          <w:szCs w:val="22"/>
        </w:rPr>
        <w:t>Nikezic</w:t>
      </w:r>
      <w:proofErr w:type="spellEnd"/>
      <w:r w:rsidR="00100D40" w:rsidRPr="00A26F20">
        <w:rPr>
          <w:sz w:val="22"/>
          <w:szCs w:val="22"/>
        </w:rPr>
        <w:t xml:space="preserve"> et al. </w:t>
      </w:r>
      <w:r w:rsidR="00100D40" w:rsidRPr="00A26F20">
        <w:rPr>
          <w:sz w:val="22"/>
          <w:szCs w:val="22"/>
        </w:rPr>
        <w:fldChar w:fldCharType="begin"/>
      </w:r>
      <w:r w:rsidR="00100D40" w:rsidRPr="00A26F20">
        <w:rPr>
          <w:sz w:val="22"/>
          <w:szCs w:val="22"/>
        </w:rPr>
        <w:instrText xml:space="preserve"> ADDIN EN.CITE &lt;EndNote&gt;&lt;Cite ExcludeAuth="1"&gt;&lt;Author&gt;Nikezic&lt;/Author&gt;&lt;Year&gt;2006&lt;/Year&gt;&lt;IDText&gt;Absorbed dose in target cell nuclei and dose conversion coefficient of radon progeny in the human lung&lt;/IDText&gt;&lt;DisplayText&gt;(2006)&lt;/DisplayText&gt;&lt;record&gt;&lt;urls&gt;&lt;related-urls&gt;&lt;url&gt;&amp;lt;Go to ISI&amp;gt;://WOS:000238990400002&lt;/url&gt;&lt;/related-urls&gt;&lt;/urls&gt;&lt;isbn&gt;0265-931X&lt;/isbn&gt;&lt;titles&gt;&lt;title&gt;Absorbed dose in target cell nuclei and dose conversion coefficient of radon progeny in the human lung&lt;/title&gt;&lt;secondary-title&gt;Journal of Environmental Radioactivity&lt;/secondary-title&gt;&lt;/titles&gt;&lt;pages&gt;18-29&lt;/pages&gt;&lt;number&gt;1&lt;/number&gt;&lt;contributors&gt;&lt;authors&gt;&lt;author&gt;Nikezic, D.&lt;/author&gt;&lt;author&gt;Lau, B. M. F.&lt;/author&gt;&lt;author&gt;Stevanovic, N.&lt;/author&gt;&lt;author&gt;Yu, K. N.&lt;/author&gt;&lt;/authors&gt;&lt;/contributors&gt;&lt;added-date format="utc"&gt;1331305545&lt;/added-date&gt;&lt;ref-type name="Journal Article"&gt;17&lt;/ref-type&gt;&lt;dates&gt;&lt;year&gt;2006&lt;/year&gt;&lt;/dates&gt;&lt;rec-number&gt;292&lt;/rec-number&gt;&lt;last-updated-date format="utc"&gt;1331305545&lt;/last-updated-date&gt;&lt;accession-num&gt;WOS:000238990400002&lt;/accession-num&gt;&lt;electronic-resource-num&gt;10.1016/j.jenvrad.2006.03.001&lt;/electronic-resource-num&gt;&lt;volume&gt;89&lt;/volume&gt;&lt;/record&gt;&lt;/Cite&gt;&lt;/EndNote&gt;</w:instrText>
      </w:r>
      <w:r w:rsidR="00100D40" w:rsidRPr="00A26F20">
        <w:rPr>
          <w:sz w:val="22"/>
          <w:szCs w:val="22"/>
        </w:rPr>
        <w:fldChar w:fldCharType="separate"/>
      </w:r>
      <w:r w:rsidR="00100D40" w:rsidRPr="00A26F20">
        <w:rPr>
          <w:noProof/>
          <w:sz w:val="22"/>
          <w:szCs w:val="22"/>
        </w:rPr>
        <w:t>(2006)</w:t>
      </w:r>
      <w:r w:rsidR="00100D40" w:rsidRPr="00A26F20">
        <w:rPr>
          <w:sz w:val="22"/>
          <w:szCs w:val="22"/>
        </w:rPr>
        <w:fldChar w:fldCharType="end"/>
      </w:r>
      <w:r w:rsidR="00100D40" w:rsidRPr="00A26F20">
        <w:rPr>
          <w:sz w:val="22"/>
          <w:szCs w:val="22"/>
        </w:rPr>
        <w:t xml:space="preserve"> and </w:t>
      </w:r>
      <w:proofErr w:type="spellStart"/>
      <w:r w:rsidR="004F41EA" w:rsidRPr="00A26F20">
        <w:rPr>
          <w:sz w:val="22"/>
          <w:szCs w:val="22"/>
        </w:rPr>
        <w:t>Markovic</w:t>
      </w:r>
      <w:proofErr w:type="spellEnd"/>
      <w:r w:rsidR="004F41EA" w:rsidRPr="00A26F20">
        <w:rPr>
          <w:sz w:val="22"/>
          <w:szCs w:val="22"/>
        </w:rPr>
        <w:t xml:space="preserve"> et al. </w:t>
      </w:r>
      <w:r w:rsidR="004F41EA" w:rsidRPr="00A26F20">
        <w:rPr>
          <w:sz w:val="22"/>
          <w:szCs w:val="22"/>
        </w:rPr>
        <w:fldChar w:fldCharType="begin"/>
      </w:r>
      <w:r w:rsidR="004F41EA" w:rsidRPr="00A26F20">
        <w:rPr>
          <w:sz w:val="22"/>
          <w:szCs w:val="22"/>
        </w:rPr>
        <w:instrText xml:space="preserve"> ADDIN EN.CITE &lt;EndNote&gt;&lt;Cite ExcludeAuth="1"&gt;&lt;Author&gt;Markovic&lt;/Author&gt;&lt;Year&gt;2011&lt;/Year&gt;&lt;IDText&gt;Doses from beta radiation in sensitive layers of human lung and dose conversion factors due to (222)Rn/(220)Rn progeny&lt;/IDText&gt;&lt;DisplayText&gt;(2011)&lt;/DisplayText&gt;&lt;record&gt;&lt;dates&gt;&lt;pub-dates&gt;&lt;date&gt;Aug&lt;/date&gt;&lt;/pub-dates&gt;&lt;year&gt;2011&lt;/year&gt;&lt;/dates&gt;&lt;urls&gt;&lt;related-urls&gt;&lt;url&gt;&amp;lt;Go to ISI&amp;gt;://WOS:000292930300011&lt;/url&gt;&lt;/related-urls&gt;&lt;/urls&gt;&lt;isbn&gt;0301-634X&lt;/isbn&gt;&lt;titles&gt;&lt;title&gt;Doses from beta radiation in sensitive layers of human lung and dose conversion factors due to (222)Rn/(220)Rn progeny&lt;/title&gt;&lt;secondary-title&gt;Radiation and Environmental Biophysics&lt;/secondary-title&gt;&lt;/titles&gt;&lt;pages&gt;431-440&lt;/pages&gt;&lt;number&gt;3&lt;/number&gt;&lt;contributors&gt;&lt;authors&gt;&lt;author&gt;Markovic, V. M.&lt;/author&gt;&lt;author&gt;Stevanovic, N.&lt;/author&gt;&lt;author&gt;Nikezic, D.&lt;/author&gt;&lt;/authors&gt;&lt;/contributors&gt;&lt;added-date format="utc"&gt;1330521344&lt;/added-date&gt;&lt;ref-type name="Journal Article"&gt;17&lt;/ref-type&gt;&lt;rec-number&gt;290&lt;/rec-number&gt;&lt;last-updated-date format="utc"&gt;1330521344&lt;/last-updated-date&gt;&lt;accession-num&gt;WOS:000292930300011&lt;/accession-num&gt;&lt;electronic-resource-num&gt;10.1007/s00411-011-0369-6&lt;/electronic-resource-num&gt;&lt;volume&gt;50&lt;/volume&gt;&lt;/record&gt;&lt;/Cite&gt;&lt;/EndNote&gt;</w:instrText>
      </w:r>
      <w:r w:rsidR="004F41EA" w:rsidRPr="00A26F20">
        <w:rPr>
          <w:sz w:val="22"/>
          <w:szCs w:val="22"/>
        </w:rPr>
        <w:fldChar w:fldCharType="separate"/>
      </w:r>
      <w:r w:rsidR="004F41EA" w:rsidRPr="00A26F20">
        <w:rPr>
          <w:noProof/>
          <w:sz w:val="22"/>
          <w:szCs w:val="22"/>
        </w:rPr>
        <w:t>(2011)</w:t>
      </w:r>
      <w:r w:rsidR="004F41EA" w:rsidRPr="00A26F20">
        <w:rPr>
          <w:sz w:val="22"/>
          <w:szCs w:val="22"/>
        </w:rPr>
        <w:fldChar w:fldCharType="end"/>
      </w:r>
      <w:r w:rsidR="004F41EA" w:rsidRPr="00A26F20">
        <w:rPr>
          <w:sz w:val="22"/>
          <w:szCs w:val="22"/>
        </w:rPr>
        <w:t>.</w:t>
      </w:r>
      <w:r w:rsidR="0020629C" w:rsidRPr="00A26F20">
        <w:rPr>
          <w:sz w:val="22"/>
          <w:szCs w:val="22"/>
        </w:rPr>
        <w:t xml:space="preserve"> </w:t>
      </w:r>
      <w:r w:rsidR="0014618C" w:rsidRPr="00A26F20">
        <w:rPr>
          <w:sz w:val="22"/>
          <w:szCs w:val="22"/>
        </w:rPr>
        <w:t>The alternative equivalent dose due to this mixed field exposure is computed by summing absorbed doses in the exponent without weighting and summing absorbed doses before the exponent with the radiation weighting factors</w:t>
      </w:r>
      <w:r w:rsidR="00813971">
        <w:rPr>
          <w:sz w:val="22"/>
          <w:szCs w:val="22"/>
        </w:rPr>
        <w:t xml:space="preserve"> applied in radiation</w:t>
      </w:r>
      <w:r w:rsidR="00AF75B7" w:rsidRPr="00A26F20">
        <w:rPr>
          <w:sz w:val="22"/>
          <w:szCs w:val="22"/>
        </w:rPr>
        <w:t xml:space="preserve"> protection</w:t>
      </w:r>
      <w:r w:rsidR="0014618C" w:rsidRPr="00A26F20">
        <w:rPr>
          <w:sz w:val="22"/>
          <w:szCs w:val="22"/>
        </w:rPr>
        <w:t xml:space="preserve">. The </w:t>
      </w:r>
      <w:r w:rsidR="00E71E4D" w:rsidRPr="00A26F20">
        <w:rPr>
          <w:sz w:val="22"/>
          <w:szCs w:val="22"/>
        </w:rPr>
        <w:t>functions applied are summarized in table 2.</w:t>
      </w:r>
    </w:p>
    <w:p w:rsidR="00E650A9" w:rsidRDefault="00E650A9" w:rsidP="00E650A9">
      <w:pPr>
        <w:spacing w:line="240" w:lineRule="auto"/>
        <w:rPr>
          <w:b/>
          <w:sz w:val="22"/>
          <w:szCs w:val="22"/>
        </w:rPr>
      </w:pPr>
    </w:p>
    <w:p w:rsidR="00813971" w:rsidRPr="00A26F20" w:rsidRDefault="00813971" w:rsidP="00E650A9">
      <w:pPr>
        <w:spacing w:line="240" w:lineRule="auto"/>
        <w:rPr>
          <w:sz w:val="22"/>
          <w:szCs w:val="22"/>
        </w:rPr>
      </w:pPr>
      <w:proofErr w:type="gramStart"/>
      <w:r>
        <w:rPr>
          <w:b/>
          <w:sz w:val="22"/>
          <w:szCs w:val="22"/>
        </w:rPr>
        <w:t>Table 2</w:t>
      </w:r>
      <w:r w:rsidRPr="00A26F20">
        <w:rPr>
          <w:b/>
          <w:sz w:val="22"/>
          <w:szCs w:val="22"/>
        </w:rPr>
        <w:t>.</w:t>
      </w:r>
      <w:proofErr w:type="gramEnd"/>
      <w:r w:rsidRPr="00A26F20">
        <w:rPr>
          <w:sz w:val="22"/>
          <w:szCs w:val="22"/>
        </w:rPr>
        <w:t xml:space="preserve"> The non-linear functions applied </w:t>
      </w:r>
      <w:r>
        <w:rPr>
          <w:sz w:val="22"/>
          <w:szCs w:val="22"/>
        </w:rPr>
        <w:t>for alternative equivalent dose, if both α- and β-exposure is considered.</w:t>
      </w:r>
    </w:p>
    <w:tbl>
      <w:tblPr>
        <w:tblStyle w:val="Rcsostblzat"/>
        <w:tblW w:w="0" w:type="auto"/>
        <w:tblLook w:val="04A0" w:firstRow="1" w:lastRow="0" w:firstColumn="1" w:lastColumn="0" w:noHBand="0" w:noVBand="1"/>
      </w:tblPr>
      <w:tblGrid>
        <w:gridCol w:w="1384"/>
        <w:gridCol w:w="7904"/>
      </w:tblGrid>
      <w:tr w:rsidR="00AF75B7" w:rsidRPr="00A26F20" w:rsidTr="00D47407">
        <w:trPr>
          <w:cantSplit/>
        </w:trPr>
        <w:tc>
          <w:tcPr>
            <w:tcW w:w="1384" w:type="dxa"/>
          </w:tcPr>
          <w:p w:rsidR="00E71E4D" w:rsidRPr="00A26F20" w:rsidRDefault="00E71E4D" w:rsidP="00E650A9">
            <w:pPr>
              <w:spacing w:line="240" w:lineRule="auto"/>
              <w:jc w:val="center"/>
              <w:rPr>
                <w:b/>
                <w:sz w:val="22"/>
                <w:szCs w:val="22"/>
              </w:rPr>
            </w:pPr>
            <w:r w:rsidRPr="00A26F20">
              <w:rPr>
                <w:b/>
                <w:sz w:val="22"/>
                <w:szCs w:val="22"/>
              </w:rPr>
              <w:t>Type</w:t>
            </w:r>
          </w:p>
        </w:tc>
        <w:tc>
          <w:tcPr>
            <w:tcW w:w="7904" w:type="dxa"/>
          </w:tcPr>
          <w:p w:rsidR="00E71E4D" w:rsidRPr="00A26F20" w:rsidRDefault="00E71E4D" w:rsidP="00E650A9">
            <w:pPr>
              <w:spacing w:line="240" w:lineRule="auto"/>
              <w:jc w:val="center"/>
              <w:rPr>
                <w:b/>
                <w:sz w:val="22"/>
                <w:szCs w:val="22"/>
              </w:rPr>
            </w:pPr>
            <w:r w:rsidRPr="00A26F20">
              <w:rPr>
                <w:b/>
                <w:sz w:val="22"/>
                <w:szCs w:val="22"/>
              </w:rPr>
              <w:t>Alternative equivalent dose</w:t>
            </w:r>
          </w:p>
        </w:tc>
      </w:tr>
      <w:tr w:rsidR="00AF75B7" w:rsidRPr="00A26F20" w:rsidTr="00D47407">
        <w:trPr>
          <w:cantSplit/>
        </w:trPr>
        <w:tc>
          <w:tcPr>
            <w:tcW w:w="1384" w:type="dxa"/>
          </w:tcPr>
          <w:p w:rsidR="00E71E4D" w:rsidRPr="00A26F20" w:rsidRDefault="00E71E4D" w:rsidP="00E650A9">
            <w:pPr>
              <w:spacing w:line="240" w:lineRule="auto"/>
              <w:jc w:val="center"/>
              <w:rPr>
                <w:sz w:val="22"/>
                <w:szCs w:val="22"/>
              </w:rPr>
            </w:pPr>
            <w:proofErr w:type="spellStart"/>
            <w:r w:rsidRPr="00A26F20">
              <w:rPr>
                <w:sz w:val="22"/>
                <w:szCs w:val="22"/>
              </w:rPr>
              <w:lastRenderedPageBreak/>
              <w:t>supralinear</w:t>
            </w:r>
            <w:proofErr w:type="spellEnd"/>
          </w:p>
        </w:tc>
        <w:tc>
          <w:tcPr>
            <w:tcW w:w="7904" w:type="dxa"/>
          </w:tcPr>
          <w:p w:rsidR="00E71E4D"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R,β</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-36∙</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e>
                    </m:d>
                  </m:e>
                </m:d>
              </m:oMath>
            </m:oMathPara>
          </w:p>
        </w:tc>
      </w:tr>
      <w:tr w:rsidR="00AF75B7" w:rsidRPr="00A26F20" w:rsidTr="00D47407">
        <w:trPr>
          <w:cantSplit/>
        </w:trPr>
        <w:tc>
          <w:tcPr>
            <w:tcW w:w="1384" w:type="dxa"/>
          </w:tcPr>
          <w:p w:rsidR="00E71E4D" w:rsidRPr="00A26F20" w:rsidRDefault="00E71E4D" w:rsidP="00E650A9">
            <w:pPr>
              <w:spacing w:line="240" w:lineRule="auto"/>
              <w:jc w:val="center"/>
              <w:rPr>
                <w:sz w:val="22"/>
                <w:szCs w:val="22"/>
              </w:rPr>
            </w:pPr>
            <w:proofErr w:type="spellStart"/>
            <w:r w:rsidRPr="00A26F20">
              <w:rPr>
                <w:sz w:val="22"/>
                <w:szCs w:val="22"/>
              </w:rPr>
              <w:t>sublinear</w:t>
            </w:r>
            <w:proofErr w:type="spellEnd"/>
          </w:p>
        </w:tc>
        <w:tc>
          <w:tcPr>
            <w:tcW w:w="7904" w:type="dxa"/>
          </w:tcPr>
          <w:p w:rsidR="00E71E4D"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R,β</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-36∙</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e>
                    </m:d>
                  </m:e>
                </m:d>
              </m:oMath>
            </m:oMathPara>
          </w:p>
        </w:tc>
      </w:tr>
      <w:tr w:rsidR="00AF75B7" w:rsidRPr="00A26F20" w:rsidTr="00D47407">
        <w:trPr>
          <w:cantSplit/>
        </w:trPr>
        <w:tc>
          <w:tcPr>
            <w:tcW w:w="1384" w:type="dxa"/>
          </w:tcPr>
          <w:p w:rsidR="00E71E4D" w:rsidRPr="00A26F20" w:rsidRDefault="00E71E4D" w:rsidP="00E650A9">
            <w:pPr>
              <w:spacing w:line="240" w:lineRule="auto"/>
              <w:jc w:val="center"/>
              <w:rPr>
                <w:sz w:val="22"/>
                <w:szCs w:val="22"/>
              </w:rPr>
            </w:pPr>
            <w:proofErr w:type="spellStart"/>
            <w:r w:rsidRPr="00A26F20">
              <w:rPr>
                <w:sz w:val="22"/>
                <w:szCs w:val="22"/>
              </w:rPr>
              <w:t>biopositive</w:t>
            </w:r>
            <w:proofErr w:type="spellEnd"/>
          </w:p>
        </w:tc>
        <w:tc>
          <w:tcPr>
            <w:tcW w:w="7904" w:type="dxa"/>
          </w:tcPr>
          <w:p w:rsidR="00E71E4D"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R,β</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1-10∙</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-72∙</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e>
                    </m:d>
                  </m:e>
                </m:d>
              </m:oMath>
            </m:oMathPara>
          </w:p>
        </w:tc>
      </w:tr>
      <w:tr w:rsidR="00AF75B7" w:rsidRPr="00A26F20" w:rsidTr="00D47407">
        <w:trPr>
          <w:cantSplit/>
        </w:trPr>
        <w:tc>
          <w:tcPr>
            <w:tcW w:w="1384" w:type="dxa"/>
          </w:tcPr>
          <w:p w:rsidR="00E71E4D" w:rsidRPr="00A26F20" w:rsidRDefault="00E71E4D" w:rsidP="00E650A9">
            <w:pPr>
              <w:spacing w:line="240" w:lineRule="auto"/>
              <w:jc w:val="center"/>
              <w:rPr>
                <w:sz w:val="22"/>
                <w:szCs w:val="22"/>
              </w:rPr>
            </w:pPr>
            <w:r w:rsidRPr="00A26F20">
              <w:rPr>
                <w:sz w:val="22"/>
                <w:szCs w:val="22"/>
              </w:rPr>
              <w:t>threshold</w:t>
            </w:r>
          </w:p>
        </w:tc>
        <w:tc>
          <w:tcPr>
            <w:tcW w:w="7904" w:type="dxa"/>
          </w:tcPr>
          <w:p w:rsidR="00E71E4D" w:rsidRPr="00A26F20" w:rsidRDefault="00E650A9" w:rsidP="00E650A9">
            <w:pPr>
              <w:spacing w:line="24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r>
                          <w:rPr>
                            <w:rFonts w:ascii="Cambria Math" w:hAnsi="Cambria Math"/>
                            <w:sz w:val="22"/>
                            <w:szCs w:val="22"/>
                          </w:rPr>
                          <m:t xml:space="preserve">0,                </m:t>
                        </m:r>
                        <m:r>
                          <m:rPr>
                            <m:sty m:val="p"/>
                          </m:rPr>
                          <w:rPr>
                            <w:rFonts w:ascii="Cambria Math" w:hAnsi="Cambria Math"/>
                            <w:sz w:val="22"/>
                            <w:szCs w:val="22"/>
                          </w:rPr>
                          <m:t>if</m:t>
                        </m:r>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r>
                          <w:rPr>
                            <w:rFonts w:ascii="Cambria Math" w:hAnsi="Cambria Math"/>
                            <w:sz w:val="22"/>
                            <w:szCs w:val="22"/>
                          </w:rPr>
                          <m:t>≤96 </m:t>
                        </m:r>
                        <m:r>
                          <m:rPr>
                            <m:sty m:val="p"/>
                          </m:rPr>
                          <w:rPr>
                            <w:rFonts w:ascii="Cambria Math" w:hAnsi="Cambria Math"/>
                            <w:sz w:val="22"/>
                            <w:szCs w:val="22"/>
                          </w:rPr>
                          <m:t xml:space="preserve">mGy                                                    </m:t>
                        </m:r>
                      </m:e>
                      <m:e>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R,β</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1-10∙</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-24∙</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e>
                                </m:d>
                              </m:e>
                            </m:d>
                          </m:e>
                        </m:d>
                        <m:r>
                          <w:rPr>
                            <w:rFonts w:ascii="Cambria Math" w:hAnsi="Cambria Math"/>
                            <w:sz w:val="22"/>
                            <w:szCs w:val="22"/>
                          </w:rPr>
                          <m:t xml:space="preserve">, </m:t>
                        </m:r>
                        <m:ctrlPr>
                          <w:rPr>
                            <w:rFonts w:ascii="Cambria Math" w:eastAsia="Cambria Math" w:hAnsi="Cambria Math" w:cs="Cambria Math"/>
                            <w:sz w:val="22"/>
                            <w:szCs w:val="22"/>
                          </w:rPr>
                        </m:ctrlPr>
                      </m:e>
                      <m:e>
                        <m:r>
                          <m:rPr>
                            <m:sty m:val="p"/>
                          </m:rPr>
                          <w:rPr>
                            <w:rFonts w:ascii="Cambria Math" w:hAnsi="Cambria Math"/>
                            <w:sz w:val="22"/>
                            <w:szCs w:val="22"/>
                          </w:rPr>
                          <m:t>if</m:t>
                        </m:r>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β</m:t>
                            </m:r>
                          </m:sub>
                        </m:sSub>
                        <m:r>
                          <w:rPr>
                            <w:rFonts w:ascii="Cambria Math" w:hAnsi="Cambria Math"/>
                            <w:sz w:val="22"/>
                            <w:szCs w:val="22"/>
                          </w:rPr>
                          <m:t>&gt;96 </m:t>
                        </m:r>
                        <m:r>
                          <m:rPr>
                            <m:sty m:val="p"/>
                          </m:rPr>
                          <w:rPr>
                            <w:rFonts w:ascii="Cambria Math" w:hAnsi="Cambria Math"/>
                            <w:sz w:val="22"/>
                            <w:szCs w:val="22"/>
                          </w:rPr>
                          <m:t xml:space="preserve">mGy                               </m:t>
                        </m:r>
                      </m:e>
                    </m:eqArr>
                  </m:e>
                </m:d>
              </m:oMath>
            </m:oMathPara>
          </w:p>
        </w:tc>
      </w:tr>
    </w:tbl>
    <w:p w:rsidR="00E71E4D" w:rsidRPr="00A26F20" w:rsidRDefault="00E71E4D" w:rsidP="00E650A9">
      <w:pPr>
        <w:spacing w:line="240" w:lineRule="auto"/>
        <w:rPr>
          <w:sz w:val="22"/>
          <w:szCs w:val="22"/>
        </w:rPr>
      </w:pPr>
    </w:p>
    <w:p w:rsidR="000B473D" w:rsidRPr="00A26F20" w:rsidRDefault="000B473D" w:rsidP="00E650A9">
      <w:pPr>
        <w:pStyle w:val="Cmsor1"/>
        <w:spacing w:line="240" w:lineRule="auto"/>
        <w:rPr>
          <w:sz w:val="24"/>
          <w:szCs w:val="24"/>
        </w:rPr>
      </w:pPr>
      <w:r w:rsidRPr="00A26F20">
        <w:rPr>
          <w:sz w:val="24"/>
          <w:szCs w:val="24"/>
        </w:rPr>
        <w:t>Results</w:t>
      </w:r>
      <w:r w:rsidR="00995DC7" w:rsidRPr="00A26F20">
        <w:rPr>
          <w:sz w:val="24"/>
          <w:szCs w:val="24"/>
        </w:rPr>
        <w:t xml:space="preserve"> and discussion</w:t>
      </w:r>
    </w:p>
    <w:p w:rsidR="00883FA8" w:rsidRPr="00A26F20" w:rsidRDefault="00813971" w:rsidP="00E650A9">
      <w:pPr>
        <w:spacing w:line="240" w:lineRule="auto"/>
        <w:rPr>
          <w:sz w:val="22"/>
          <w:szCs w:val="22"/>
        </w:rPr>
      </w:pPr>
      <w:r>
        <w:rPr>
          <w:sz w:val="22"/>
          <w:szCs w:val="22"/>
        </w:rPr>
        <w:t>Figure 2</w:t>
      </w:r>
      <w:r w:rsidR="00464658" w:rsidRPr="00A26F20">
        <w:rPr>
          <w:sz w:val="22"/>
          <w:szCs w:val="22"/>
        </w:rPr>
        <w:t xml:space="preserve"> shows </w:t>
      </w:r>
      <w:r w:rsidR="0077495D" w:rsidRPr="00A26F20">
        <w:rPr>
          <w:sz w:val="22"/>
          <w:szCs w:val="22"/>
        </w:rPr>
        <w:t xml:space="preserve">alternative effective doses as the function of mean tissue dose in </w:t>
      </w:r>
      <w:r w:rsidR="00464658" w:rsidRPr="00A26F20">
        <w:rPr>
          <w:sz w:val="22"/>
          <w:szCs w:val="22"/>
        </w:rPr>
        <w:t>the case when only α-exposure is considered</w:t>
      </w:r>
      <w:r w:rsidR="0077495D" w:rsidRPr="00A26F20">
        <w:rPr>
          <w:sz w:val="22"/>
          <w:szCs w:val="22"/>
        </w:rPr>
        <w:t xml:space="preserve">. </w:t>
      </w:r>
      <w:r w:rsidR="00C2120F" w:rsidRPr="00A26F20">
        <w:rPr>
          <w:sz w:val="22"/>
          <w:szCs w:val="22"/>
        </w:rPr>
        <w:t>Exposure in WLM computed from effective dose applying a recent estimation of dose conversation coefficient of 15 </w:t>
      </w:r>
      <w:proofErr w:type="spellStart"/>
      <w:r w:rsidR="00C2120F" w:rsidRPr="00A26F20">
        <w:rPr>
          <w:sz w:val="22"/>
          <w:szCs w:val="22"/>
        </w:rPr>
        <w:t>mSv</w:t>
      </w:r>
      <w:proofErr w:type="spellEnd"/>
      <w:r w:rsidR="00C2120F" w:rsidRPr="00A26F20">
        <w:rPr>
          <w:sz w:val="22"/>
          <w:szCs w:val="22"/>
        </w:rPr>
        <w:t xml:space="preserve">/WLM </w:t>
      </w:r>
      <w:r w:rsidR="00C2120F" w:rsidRPr="00A26F20">
        <w:rPr>
          <w:sz w:val="22"/>
          <w:szCs w:val="22"/>
        </w:rPr>
        <w:fldChar w:fldCharType="begin"/>
      </w:r>
      <w:r w:rsidR="00C2120F" w:rsidRPr="00A26F20">
        <w:rPr>
          <w:sz w:val="22"/>
          <w:szCs w:val="22"/>
        </w:rPr>
        <w:instrText xml:space="preserve"> ADDIN EN.CITE &lt;EndNote&gt;&lt;Cite&gt;&lt;Author&gt;Al-Jundi&lt;/Author&gt;&lt;Year&gt;2011&lt;/Year&gt;&lt;IDText&gt;Inhalation dose assessment of indoor radon progeny using biokinetic and dosimetric modeling and its application to Jordanian population&lt;/IDText&gt;&lt;DisplayText&gt;(Al-Jundi et al., 2011)&lt;/DisplayText&gt;&lt;record&gt;&lt;dates&gt;&lt;pub-dates&gt;&lt;date&gt;Jun&lt;/date&gt;&lt;/pub-dates&gt;&lt;year&gt;2011&lt;/year&gt;&lt;/dates&gt;&lt;urls&gt;&lt;related-urls&gt;&lt;url&gt;&amp;lt;Go to ISI&amp;gt;://WOS:000292015700006&lt;/url&gt;&lt;/related-urls&gt;&lt;/urls&gt;&lt;isbn&gt;0265-931X&lt;/isbn&gt;&lt;titles&gt;&lt;title&gt;Inhalation dose assessment of indoor radon progeny using biokinetic and dosimetric modeling and its application to Jordanian population&lt;/title&gt;&lt;secondary-title&gt;Journal of Environmental Radioactivity&lt;/secondary-title&gt;&lt;/titles&gt;&lt;pages&gt;574-580&lt;/pages&gt;&lt;number&gt;6&lt;/number&gt;&lt;contributors&gt;&lt;authors&gt;&lt;author&gt;Al-Jundi, J.&lt;/author&gt;&lt;author&gt;Li, W. B.&lt;/author&gt;&lt;author&gt;Abusini, M.&lt;/author&gt;&lt;author&gt;Tschiersch, J.&lt;/author&gt;&lt;author&gt;Hoeschen, C.&lt;/author&gt;&lt;author&gt;Oeh, U.&lt;/author&gt;&lt;/authors&gt;&lt;/contributors&gt;&lt;added-date format="utc"&gt;1331305521&lt;/added-date&gt;&lt;ref-type name="Journal Article"&gt;17&lt;/ref-type&gt;&lt;rec-number&gt;291&lt;/rec-number&gt;&lt;last-updated-date format="utc"&gt;1331305521&lt;/last-updated-date&gt;&lt;accession-num&gt;WOS:000292015700006&lt;/accession-num&gt;&lt;electronic-resource-num&gt;10.1016/j.jenvrad.2011.03.003&lt;/electronic-resource-num&gt;&lt;volume&gt;102&lt;/volume&gt;&lt;/record&gt;&lt;/Cite&gt;&lt;/EndNote&gt;</w:instrText>
      </w:r>
      <w:r w:rsidR="00C2120F" w:rsidRPr="00A26F20">
        <w:rPr>
          <w:sz w:val="22"/>
          <w:szCs w:val="22"/>
        </w:rPr>
        <w:fldChar w:fldCharType="separate"/>
      </w:r>
      <w:r w:rsidR="00C2120F" w:rsidRPr="00A26F20">
        <w:rPr>
          <w:noProof/>
          <w:sz w:val="22"/>
          <w:szCs w:val="22"/>
        </w:rPr>
        <w:t>(Al-Jundi et al., 2011)</w:t>
      </w:r>
      <w:r w:rsidR="00C2120F" w:rsidRPr="00A26F20">
        <w:rPr>
          <w:sz w:val="22"/>
          <w:szCs w:val="22"/>
        </w:rPr>
        <w:fldChar w:fldCharType="end"/>
      </w:r>
      <w:r w:rsidR="00C2120F" w:rsidRPr="00A26F20">
        <w:rPr>
          <w:sz w:val="22"/>
          <w:szCs w:val="22"/>
        </w:rPr>
        <w:t xml:space="preserve"> and alternative excess nominal risk </w:t>
      </w:r>
      <w:r w:rsidR="00B60009" w:rsidRPr="00A26F20">
        <w:rPr>
          <w:sz w:val="22"/>
          <w:szCs w:val="22"/>
        </w:rPr>
        <w:t>(corresponding alternative effective dose multiplied by 0.05 mSv</w:t>
      </w:r>
      <w:r w:rsidR="00B60009" w:rsidRPr="00A26F20">
        <w:rPr>
          <w:sz w:val="22"/>
          <w:szCs w:val="22"/>
          <w:vertAlign w:val="superscript"/>
        </w:rPr>
        <w:t>-1</w:t>
      </w:r>
      <w:r w:rsidR="00B60009" w:rsidRPr="00A26F20">
        <w:rPr>
          <w:sz w:val="22"/>
          <w:szCs w:val="22"/>
        </w:rPr>
        <w:t xml:space="preserve">) are </w:t>
      </w:r>
      <w:r w:rsidR="00C2120F" w:rsidRPr="00A26F20">
        <w:rPr>
          <w:sz w:val="22"/>
          <w:szCs w:val="22"/>
        </w:rPr>
        <w:t xml:space="preserve">also presented </w:t>
      </w:r>
      <w:r w:rsidR="00B60009" w:rsidRPr="00A26F20">
        <w:rPr>
          <w:sz w:val="22"/>
          <w:szCs w:val="22"/>
        </w:rPr>
        <w:t xml:space="preserve">using </w:t>
      </w:r>
      <w:r w:rsidR="00C2120F" w:rsidRPr="00A26F20">
        <w:rPr>
          <w:sz w:val="22"/>
          <w:szCs w:val="22"/>
        </w:rPr>
        <w:t>additional axes.</w:t>
      </w:r>
      <w:r w:rsidR="00883FA8" w:rsidRPr="00A26F20">
        <w:rPr>
          <w:sz w:val="22"/>
          <w:szCs w:val="22"/>
        </w:rPr>
        <w:t xml:space="preserve"> </w:t>
      </w:r>
      <w:r>
        <w:rPr>
          <w:sz w:val="22"/>
          <w:szCs w:val="22"/>
        </w:rPr>
        <w:t>In panel a</w:t>
      </w:r>
      <w:r w:rsidR="00464658" w:rsidRPr="00A26F20">
        <w:rPr>
          <w:sz w:val="22"/>
          <w:szCs w:val="22"/>
        </w:rPr>
        <w:t>, absorbed dose is averaged over the whole tissue</w:t>
      </w:r>
      <w:r>
        <w:rPr>
          <w:sz w:val="22"/>
          <w:szCs w:val="22"/>
        </w:rPr>
        <w:t xml:space="preserve"> (over the five bifurcation unit)</w:t>
      </w:r>
      <w:r w:rsidR="00E502F8" w:rsidRPr="00A26F20">
        <w:rPr>
          <w:sz w:val="22"/>
          <w:szCs w:val="22"/>
        </w:rPr>
        <w:t>,</w:t>
      </w:r>
      <w:r w:rsidR="00464658" w:rsidRPr="00A26F20">
        <w:rPr>
          <w:sz w:val="22"/>
          <w:szCs w:val="22"/>
        </w:rPr>
        <w:t xml:space="preserve"> </w:t>
      </w:r>
      <w:r w:rsidR="00E502F8" w:rsidRPr="00A26F20">
        <w:rPr>
          <w:sz w:val="22"/>
          <w:szCs w:val="22"/>
        </w:rPr>
        <w:t xml:space="preserve">i.e. </w:t>
      </w:r>
      <w:r w:rsidR="0077495D" w:rsidRPr="00A26F20">
        <w:rPr>
          <w:sz w:val="22"/>
          <w:szCs w:val="22"/>
        </w:rPr>
        <w:t>the dose distribution over the T</w:t>
      </w:r>
      <w:r>
        <w:rPr>
          <w:sz w:val="22"/>
          <w:szCs w:val="22"/>
        </w:rPr>
        <w:t>Us is not considered. In panel b</w:t>
      </w:r>
      <w:r w:rsidR="0077495D" w:rsidRPr="00A26F20">
        <w:rPr>
          <w:sz w:val="22"/>
          <w:szCs w:val="22"/>
        </w:rPr>
        <w:t xml:space="preserve">, alternative effective doses </w:t>
      </w:r>
      <w:r w:rsidR="00883FA8" w:rsidRPr="00A26F20">
        <w:rPr>
          <w:sz w:val="22"/>
          <w:szCs w:val="22"/>
        </w:rPr>
        <w:t xml:space="preserve">are computed by summing up alternative equivalent doses of </w:t>
      </w:r>
      <w:proofErr w:type="gramStart"/>
      <w:r w:rsidR="00883FA8" w:rsidRPr="00A26F20">
        <w:rPr>
          <w:sz w:val="22"/>
          <w:szCs w:val="22"/>
        </w:rPr>
        <w:t>TUs,</w:t>
      </w:r>
      <w:proofErr w:type="gramEnd"/>
      <w:r w:rsidR="00883FA8" w:rsidRPr="00A26F20">
        <w:rPr>
          <w:sz w:val="22"/>
          <w:szCs w:val="22"/>
        </w:rPr>
        <w:t xml:space="preserve"> however the hit probability distribution over TUs is unifor</w:t>
      </w:r>
      <w:r w:rsidR="00E502F8" w:rsidRPr="00A26F20">
        <w:rPr>
          <w:sz w:val="22"/>
          <w:szCs w:val="22"/>
        </w:rPr>
        <w:t xml:space="preserve">m. </w:t>
      </w:r>
      <w:proofErr w:type="gramStart"/>
      <w:r w:rsidR="00E502F8" w:rsidRPr="00A26F20">
        <w:rPr>
          <w:sz w:val="22"/>
          <w:szCs w:val="22"/>
        </w:rPr>
        <w:t xml:space="preserve">Panel </w:t>
      </w:r>
      <w:r>
        <w:rPr>
          <w:sz w:val="22"/>
          <w:szCs w:val="22"/>
        </w:rPr>
        <w:t>c</w:t>
      </w:r>
      <w:r w:rsidR="00E502F8" w:rsidRPr="00A26F20">
        <w:rPr>
          <w:sz w:val="22"/>
          <w:szCs w:val="22"/>
        </w:rPr>
        <w:t xml:space="preserve"> show the case when the </w:t>
      </w:r>
      <w:r>
        <w:rPr>
          <w:sz w:val="22"/>
          <w:szCs w:val="22"/>
        </w:rPr>
        <w:t xml:space="preserve">realistic </w:t>
      </w:r>
      <w:r w:rsidR="00E502F8" w:rsidRPr="00A26F20">
        <w:rPr>
          <w:sz w:val="22"/>
          <w:szCs w:val="22"/>
        </w:rPr>
        <w:t xml:space="preserve">deposition distribution of radon progeny is considered, i.e. the </w:t>
      </w:r>
      <w:r w:rsidR="00883FA8" w:rsidRPr="00A26F20">
        <w:rPr>
          <w:sz w:val="22"/>
          <w:szCs w:val="22"/>
        </w:rPr>
        <w:t xml:space="preserve">hit distribution is </w:t>
      </w:r>
      <w:r>
        <w:rPr>
          <w:sz w:val="22"/>
          <w:szCs w:val="22"/>
        </w:rPr>
        <w:t xml:space="preserve">strongly </w:t>
      </w:r>
      <w:r w:rsidR="00883FA8" w:rsidRPr="00A26F20">
        <w:rPr>
          <w:sz w:val="22"/>
          <w:szCs w:val="22"/>
        </w:rPr>
        <w:t xml:space="preserve">inhomogeneous over </w:t>
      </w:r>
      <w:r w:rsidR="00E502F8" w:rsidRPr="00A26F20">
        <w:rPr>
          <w:sz w:val="22"/>
          <w:szCs w:val="22"/>
        </w:rPr>
        <w:t xml:space="preserve">the </w:t>
      </w:r>
      <w:r w:rsidR="00883FA8" w:rsidRPr="00A26F20">
        <w:rPr>
          <w:sz w:val="22"/>
          <w:szCs w:val="22"/>
        </w:rPr>
        <w:t>TUs.</w:t>
      </w:r>
      <w:proofErr w:type="gramEnd"/>
    </w:p>
    <w:p w:rsidR="0050407E" w:rsidRPr="00A26F20" w:rsidRDefault="00883FA8" w:rsidP="00E650A9">
      <w:pPr>
        <w:spacing w:line="240" w:lineRule="auto"/>
        <w:rPr>
          <w:sz w:val="22"/>
          <w:szCs w:val="22"/>
        </w:rPr>
      </w:pPr>
      <w:r w:rsidRPr="00A26F20">
        <w:rPr>
          <w:sz w:val="22"/>
          <w:szCs w:val="22"/>
        </w:rPr>
        <w:t xml:space="preserve">The black lines in </w:t>
      </w:r>
      <w:r w:rsidR="00684039" w:rsidRPr="00A26F20">
        <w:rPr>
          <w:sz w:val="22"/>
          <w:szCs w:val="22"/>
        </w:rPr>
        <w:t xml:space="preserve">all the three </w:t>
      </w:r>
      <w:r w:rsidRPr="00A26F20">
        <w:rPr>
          <w:sz w:val="22"/>
          <w:szCs w:val="22"/>
        </w:rPr>
        <w:t xml:space="preserve">panels </w:t>
      </w:r>
      <w:r w:rsidR="00E502F8" w:rsidRPr="00A26F20">
        <w:rPr>
          <w:sz w:val="22"/>
          <w:szCs w:val="22"/>
        </w:rPr>
        <w:t>re</w:t>
      </w:r>
      <w:r w:rsidR="00566EE0" w:rsidRPr="00A26F20">
        <w:rPr>
          <w:sz w:val="22"/>
          <w:szCs w:val="22"/>
        </w:rPr>
        <w:t xml:space="preserve">present </w:t>
      </w:r>
      <w:r w:rsidRPr="00A26F20">
        <w:rPr>
          <w:sz w:val="22"/>
          <w:szCs w:val="22"/>
        </w:rPr>
        <w:t xml:space="preserve">that </w:t>
      </w:r>
      <w:r w:rsidR="00881F4A" w:rsidRPr="00A26F20">
        <w:rPr>
          <w:sz w:val="22"/>
          <w:szCs w:val="22"/>
        </w:rPr>
        <w:t>if alternative effective dose</w:t>
      </w:r>
      <w:r w:rsidR="008F3F26" w:rsidRPr="00A26F20">
        <w:rPr>
          <w:sz w:val="22"/>
          <w:szCs w:val="22"/>
        </w:rPr>
        <w:t xml:space="preserve"> is linear function of absorbed dose,</w:t>
      </w:r>
      <w:r w:rsidR="00EF21D8" w:rsidRPr="00A26F20">
        <w:rPr>
          <w:sz w:val="22"/>
          <w:szCs w:val="22"/>
        </w:rPr>
        <w:t xml:space="preserve"> then it</w:t>
      </w:r>
      <w:r w:rsidR="008F3F26" w:rsidRPr="00A26F20">
        <w:rPr>
          <w:sz w:val="22"/>
          <w:szCs w:val="22"/>
        </w:rPr>
        <w:t xml:space="preserve"> </w:t>
      </w:r>
      <w:r w:rsidRPr="00A26F20">
        <w:rPr>
          <w:sz w:val="22"/>
          <w:szCs w:val="22"/>
        </w:rPr>
        <w:t xml:space="preserve">is independent on the </w:t>
      </w:r>
      <w:proofErr w:type="spellStart"/>
      <w:r w:rsidR="00566EE0" w:rsidRPr="00A26F20">
        <w:rPr>
          <w:sz w:val="22"/>
          <w:szCs w:val="22"/>
        </w:rPr>
        <w:t>suborgan</w:t>
      </w:r>
      <w:proofErr w:type="spellEnd"/>
      <w:r w:rsidR="00566EE0" w:rsidRPr="00A26F20">
        <w:rPr>
          <w:sz w:val="22"/>
          <w:szCs w:val="22"/>
        </w:rPr>
        <w:t xml:space="preserve"> </w:t>
      </w:r>
      <w:r w:rsidRPr="00A26F20">
        <w:rPr>
          <w:sz w:val="22"/>
          <w:szCs w:val="22"/>
        </w:rPr>
        <w:t>dose distribution</w:t>
      </w:r>
      <w:r w:rsidR="00566EE0" w:rsidRPr="00A26F20">
        <w:rPr>
          <w:sz w:val="22"/>
          <w:szCs w:val="22"/>
        </w:rPr>
        <w:t xml:space="preserve">. </w:t>
      </w:r>
      <w:r w:rsidR="00E502F8" w:rsidRPr="00A26F20">
        <w:rPr>
          <w:sz w:val="22"/>
          <w:szCs w:val="22"/>
        </w:rPr>
        <w:t>T</w:t>
      </w:r>
      <w:r w:rsidR="00566EE0" w:rsidRPr="00A26F20">
        <w:rPr>
          <w:sz w:val="22"/>
          <w:szCs w:val="22"/>
        </w:rPr>
        <w:t xml:space="preserve">his </w:t>
      </w:r>
      <w:r w:rsidR="00E502F8" w:rsidRPr="00A26F20">
        <w:rPr>
          <w:sz w:val="22"/>
          <w:szCs w:val="22"/>
        </w:rPr>
        <w:t xml:space="preserve">result </w:t>
      </w:r>
      <w:r w:rsidR="00566EE0" w:rsidRPr="00A26F20">
        <w:rPr>
          <w:sz w:val="22"/>
          <w:szCs w:val="22"/>
        </w:rPr>
        <w:t xml:space="preserve">was expected, </w:t>
      </w:r>
      <w:r w:rsidR="00E502F8" w:rsidRPr="00A26F20">
        <w:rPr>
          <w:sz w:val="22"/>
          <w:szCs w:val="22"/>
        </w:rPr>
        <w:t>because this</w:t>
      </w:r>
      <w:r w:rsidR="008F3F26" w:rsidRPr="00A26F20">
        <w:rPr>
          <w:sz w:val="22"/>
          <w:szCs w:val="22"/>
        </w:rPr>
        <w:t xml:space="preserve"> is </w:t>
      </w:r>
      <w:r w:rsidR="00E502F8" w:rsidRPr="00A26F20">
        <w:rPr>
          <w:sz w:val="22"/>
          <w:szCs w:val="22"/>
        </w:rPr>
        <w:t xml:space="preserve">a mere mathematical identity. </w:t>
      </w:r>
      <w:r w:rsidR="00813971">
        <w:rPr>
          <w:sz w:val="22"/>
          <w:szCs w:val="22"/>
        </w:rPr>
        <w:t>This</w:t>
      </w:r>
      <w:r w:rsidR="008F3F26" w:rsidRPr="00A26F20">
        <w:rPr>
          <w:sz w:val="22"/>
          <w:szCs w:val="22"/>
        </w:rPr>
        <w:t xml:space="preserve"> </w:t>
      </w:r>
      <w:r w:rsidR="00813971">
        <w:rPr>
          <w:sz w:val="22"/>
          <w:szCs w:val="22"/>
        </w:rPr>
        <w:t>is</w:t>
      </w:r>
      <w:r w:rsidR="0050407E" w:rsidRPr="00A26F20">
        <w:rPr>
          <w:sz w:val="22"/>
          <w:szCs w:val="22"/>
        </w:rPr>
        <w:t xml:space="preserve"> clear if in equation (3) </w:t>
      </w:r>
      <w:proofErr w:type="spellStart"/>
      <w:r w:rsidR="001C4674" w:rsidRPr="00A26F20">
        <w:rPr>
          <w:i/>
          <w:sz w:val="22"/>
          <w:szCs w:val="22"/>
        </w:rPr>
        <w:t>w</w:t>
      </w:r>
      <w:r w:rsidR="001C4674" w:rsidRPr="00A26F20">
        <w:rPr>
          <w:i/>
          <w:sz w:val="22"/>
          <w:szCs w:val="22"/>
          <w:vertAlign w:val="subscript"/>
        </w:rPr>
        <w:t>TU</w:t>
      </w:r>
      <w:proofErr w:type="gramStart"/>
      <w:r w:rsidR="001C4674" w:rsidRPr="00A26F20">
        <w:rPr>
          <w:i/>
          <w:sz w:val="22"/>
          <w:szCs w:val="22"/>
          <w:vertAlign w:val="subscript"/>
        </w:rPr>
        <w:t>,i</w:t>
      </w:r>
      <w:proofErr w:type="spellEnd"/>
      <w:proofErr w:type="gramEnd"/>
      <w:r w:rsidR="001C4674" w:rsidRPr="00A26F20">
        <w:rPr>
          <w:sz w:val="22"/>
          <w:szCs w:val="22"/>
        </w:rPr>
        <w:t xml:space="preserve"> </w:t>
      </w:r>
      <w:r w:rsidR="0050407E" w:rsidRPr="00A26F20">
        <w:rPr>
          <w:sz w:val="22"/>
          <w:szCs w:val="22"/>
        </w:rPr>
        <w:t xml:space="preserve">is replaced using equation (2) and </w:t>
      </w:r>
      <w:proofErr w:type="spellStart"/>
      <w:r w:rsidR="0050407E" w:rsidRPr="00A26F20">
        <w:rPr>
          <w:i/>
          <w:sz w:val="22"/>
          <w:szCs w:val="22"/>
        </w:rPr>
        <w:t>D</w:t>
      </w:r>
      <w:r w:rsidR="0050407E" w:rsidRPr="00A26F20">
        <w:rPr>
          <w:i/>
          <w:sz w:val="22"/>
          <w:szCs w:val="22"/>
          <w:vertAlign w:val="subscript"/>
        </w:rPr>
        <w:t>i,j</w:t>
      </w:r>
      <w:proofErr w:type="spellEnd"/>
      <w:r w:rsidR="0050407E" w:rsidRPr="00A26F20">
        <w:rPr>
          <w:sz w:val="22"/>
          <w:szCs w:val="22"/>
        </w:rPr>
        <w:t xml:space="preserve"> is written as the ratio of locally absorbed energy (</w:t>
      </w:r>
      <w:proofErr w:type="spellStart"/>
      <w:r w:rsidR="0050407E" w:rsidRPr="00A26F20">
        <w:rPr>
          <w:i/>
          <w:sz w:val="22"/>
          <w:szCs w:val="22"/>
        </w:rPr>
        <w:t>E</w:t>
      </w:r>
      <w:r w:rsidR="0050407E" w:rsidRPr="00A26F20">
        <w:rPr>
          <w:i/>
          <w:sz w:val="22"/>
          <w:szCs w:val="22"/>
          <w:vertAlign w:val="subscript"/>
        </w:rPr>
        <w:t>i,j</w:t>
      </w:r>
      <w:proofErr w:type="spellEnd"/>
      <w:r w:rsidR="0050407E" w:rsidRPr="00A26F20">
        <w:rPr>
          <w:sz w:val="22"/>
          <w:szCs w:val="22"/>
        </w:rPr>
        <w:t>) and mass of the TU:</w:t>
      </w:r>
    </w:p>
    <w:p w:rsidR="00883FA8" w:rsidRPr="00A26F20" w:rsidRDefault="0050407E" w:rsidP="00E650A9">
      <w:pPr>
        <w:spacing w:line="240" w:lineRule="auto"/>
        <w:rPr>
          <w:sz w:val="22"/>
          <w:szCs w:val="22"/>
        </w:rPr>
      </w:pPr>
      <w:r w:rsidRPr="00A26F20">
        <w:rPr>
          <w:sz w:val="22"/>
          <w:szCs w:val="22"/>
        </w:rPr>
        <w:t xml:space="preserve"> </w:t>
      </w:r>
      <w:r w:rsidRPr="00A26F20">
        <w:rPr>
          <w:sz w:val="22"/>
          <w:szCs w:val="22"/>
        </w:rPr>
        <w:tab/>
      </w:r>
      <m:oMath>
        <m:r>
          <w:rPr>
            <w:rFonts w:ascii="Cambria Math" w:hAnsi="Cambria Math"/>
            <w:sz w:val="22"/>
            <w:szCs w:val="22"/>
          </w:rPr>
          <m:t>E=</m:t>
        </m:r>
        <m:nary>
          <m:naryPr>
            <m:chr m:val="∑"/>
            <m:limLoc m:val="subSup"/>
            <m:supHide m:val="1"/>
            <m:ctrlPr>
              <w:rPr>
                <w:rFonts w:ascii="Cambria Math" w:hAnsi="Cambria Math"/>
                <w:i/>
                <w:sz w:val="22"/>
                <w:szCs w:val="22"/>
              </w:rPr>
            </m:ctrlPr>
          </m:naryPr>
          <m:sub>
            <m:r>
              <w:rPr>
                <w:rFonts w:ascii="Cambria Math" w:hAnsi="Cambria Math"/>
                <w:sz w:val="22"/>
                <w:szCs w:val="22"/>
              </w:rPr>
              <m:t>i</m:t>
            </m:r>
          </m:sub>
          <m:sup/>
          <m:e>
            <m:sSub>
              <m:sSubPr>
                <m:ctrlPr>
                  <w:rPr>
                    <w:rFonts w:ascii="Cambria Math" w:hAnsi="Cambria Math"/>
                    <w:i/>
                    <w:sz w:val="22"/>
                    <w:szCs w:val="22"/>
                  </w:rPr>
                </m:ctrlPr>
              </m:sSub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TU,i</m:t>
                        </m:r>
                      </m:sub>
                    </m:sSub>
                  </m:num>
                  <m:den>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T</m:t>
                        </m:r>
                      </m:sub>
                    </m:sSub>
                  </m:den>
                </m:f>
                <m:r>
                  <w:rPr>
                    <w:rFonts w:ascii="Cambria Math" w:hAnsi="Cambria Math"/>
                    <w:sz w:val="22"/>
                    <w:szCs w:val="22"/>
                  </w:rPr>
                  <m:t xml:space="preserve"> ∙w</m:t>
                </m:r>
              </m:e>
              <m:sub>
                <m:r>
                  <w:rPr>
                    <w:rFonts w:ascii="Cambria Math" w:hAnsi="Cambria Math"/>
                    <w:sz w:val="22"/>
                    <w:szCs w:val="22"/>
                  </w:rPr>
                  <m:t>T</m:t>
                </m:r>
              </m:sub>
            </m:sSub>
            <m:r>
              <w:rPr>
                <w:rFonts w:ascii="Cambria Math" w:hAnsi="Cambria Math"/>
                <w:sz w:val="22"/>
                <w:szCs w:val="22"/>
              </w:rPr>
              <m:t>∙</m:t>
            </m:r>
          </m:e>
        </m:nary>
        <m:nary>
          <m:naryPr>
            <m:chr m:val="∑"/>
            <m:limLoc m:val="undOvr"/>
            <m:supHide m:val="1"/>
            <m:ctrlPr>
              <w:rPr>
                <w:rFonts w:ascii="Cambria Math" w:hAnsi="Cambria Math"/>
                <w:i/>
                <w:sz w:val="22"/>
                <w:szCs w:val="22"/>
              </w:rPr>
            </m:ctrlPr>
          </m:naryPr>
          <m:sub>
            <m:r>
              <w:rPr>
                <w:rFonts w:ascii="Cambria Math" w:hAnsi="Cambria Math"/>
                <w:sz w:val="22"/>
                <w:szCs w:val="22"/>
              </w:rPr>
              <m:t>j</m:t>
            </m:r>
          </m:sub>
          <m:sup/>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R,j</m:t>
                </m:r>
              </m:sub>
            </m:sSub>
          </m:e>
        </m:nary>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i,j</m:t>
                </m:r>
              </m:sub>
            </m:sSub>
          </m:num>
          <m:den>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TU,i</m:t>
                </m:r>
              </m:sub>
            </m:sSub>
          </m:den>
        </m:f>
      </m:oMath>
      <w:r w:rsidR="004546AE" w:rsidRPr="00A26F20">
        <w:rPr>
          <w:sz w:val="22"/>
          <w:szCs w:val="22"/>
        </w:rPr>
        <w:t>.</w:t>
      </w:r>
      <w:r w:rsidR="004546AE" w:rsidRPr="00A26F20">
        <w:rPr>
          <w:sz w:val="22"/>
          <w:szCs w:val="22"/>
        </w:rPr>
        <w:tab/>
        <w:t>(4</w:t>
      </w:r>
      <w:r w:rsidRPr="00A26F20">
        <w:rPr>
          <w:sz w:val="22"/>
          <w:szCs w:val="22"/>
        </w:rPr>
        <w:t>)</w:t>
      </w:r>
    </w:p>
    <w:p w:rsidR="0050407E" w:rsidRPr="00A26F20" w:rsidRDefault="004546AE" w:rsidP="00E650A9">
      <w:pPr>
        <w:spacing w:line="240" w:lineRule="auto"/>
        <w:rPr>
          <w:sz w:val="22"/>
          <w:szCs w:val="22"/>
        </w:rPr>
      </w:pPr>
      <w:r w:rsidRPr="00A26F20">
        <w:rPr>
          <w:sz w:val="22"/>
          <w:szCs w:val="22"/>
        </w:rPr>
        <w:t>Changing the order of summations, the following form is obtained:</w:t>
      </w:r>
    </w:p>
    <w:p w:rsidR="004546AE" w:rsidRPr="00A26F20" w:rsidRDefault="004546AE" w:rsidP="00E650A9">
      <w:pPr>
        <w:spacing w:line="240" w:lineRule="auto"/>
        <w:rPr>
          <w:sz w:val="22"/>
          <w:szCs w:val="22"/>
        </w:rPr>
      </w:pPr>
      <w:r w:rsidRPr="00A26F20">
        <w:rPr>
          <w:sz w:val="22"/>
          <w:szCs w:val="22"/>
        </w:rPr>
        <w:tab/>
      </w:r>
      <m:oMath>
        <m:r>
          <w:rPr>
            <w:rFonts w:ascii="Cambria Math" w:hAnsi="Cambria Math"/>
            <w:sz w:val="22"/>
            <w:szCs w:val="22"/>
          </w:rPr>
          <m:t>E=</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T</m:t>
            </m:r>
          </m:sub>
        </m:sSub>
        <m:r>
          <w:rPr>
            <w:rFonts w:ascii="Cambria Math" w:hAnsi="Cambria Math"/>
            <w:sz w:val="22"/>
            <w:szCs w:val="22"/>
          </w:rPr>
          <m:t>∙</m:t>
        </m:r>
        <m:nary>
          <m:naryPr>
            <m:chr m:val="∑"/>
            <m:limLoc m:val="undOvr"/>
            <m:supHide m:val="1"/>
            <m:ctrlPr>
              <w:rPr>
                <w:rFonts w:ascii="Cambria Math" w:hAnsi="Cambria Math"/>
                <w:i/>
                <w:sz w:val="22"/>
                <w:szCs w:val="22"/>
              </w:rPr>
            </m:ctrlPr>
          </m:naryPr>
          <m:sub>
            <m:r>
              <w:rPr>
                <w:rFonts w:ascii="Cambria Math" w:hAnsi="Cambria Math"/>
                <w:sz w:val="22"/>
                <w:szCs w:val="22"/>
              </w:rPr>
              <m:t>j</m:t>
            </m:r>
          </m:sub>
          <m:sup/>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R,j</m:t>
                </m:r>
              </m:sub>
            </m:sSub>
          </m:e>
        </m:nary>
        <m:r>
          <w:rPr>
            <w:rFonts w:ascii="Cambria Math" w:hAnsi="Cambria Math"/>
            <w:sz w:val="22"/>
            <w:szCs w:val="22"/>
          </w:rPr>
          <m:t>∙</m:t>
        </m:r>
        <m:f>
          <m:fPr>
            <m:ctrlPr>
              <w:rPr>
                <w:rFonts w:ascii="Cambria Math" w:hAnsi="Cambria Math"/>
                <w:i/>
                <w:sz w:val="22"/>
                <w:szCs w:val="22"/>
              </w:rPr>
            </m:ctrlPr>
          </m:fPr>
          <m:num>
            <m:nary>
              <m:naryPr>
                <m:chr m:val="∑"/>
                <m:limLoc m:val="undOvr"/>
                <m:supHide m:val="1"/>
                <m:ctrlPr>
                  <w:rPr>
                    <w:rFonts w:ascii="Cambria Math" w:hAnsi="Cambria Math"/>
                    <w:i/>
                    <w:sz w:val="22"/>
                    <w:szCs w:val="22"/>
                  </w:rPr>
                </m:ctrlPr>
              </m:naryPr>
              <m:sub>
                <m:r>
                  <w:rPr>
                    <w:rFonts w:ascii="Cambria Math" w:hAnsi="Cambria Math"/>
                    <w:sz w:val="22"/>
                    <w:szCs w:val="22"/>
                  </w:rPr>
                  <m:t>i</m:t>
                </m:r>
              </m:sub>
              <m:sup/>
              <m:e>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i,j</m:t>
                    </m:r>
                  </m:sub>
                </m:sSub>
              </m:e>
            </m:nary>
          </m:num>
          <m:den>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T</m:t>
                </m:r>
              </m:sub>
            </m:sSub>
          </m:den>
        </m:f>
      </m:oMath>
      <w:r w:rsidRPr="00A26F20">
        <w:rPr>
          <w:sz w:val="22"/>
          <w:szCs w:val="22"/>
        </w:rPr>
        <w:t>,</w:t>
      </w:r>
      <w:r w:rsidRPr="00A26F20">
        <w:rPr>
          <w:sz w:val="22"/>
          <w:szCs w:val="22"/>
        </w:rPr>
        <w:tab/>
        <w:t>(5)</w:t>
      </w:r>
    </w:p>
    <w:p w:rsidR="008F3F26" w:rsidRPr="00A26F20" w:rsidRDefault="004546AE" w:rsidP="00E650A9">
      <w:pPr>
        <w:spacing w:line="240" w:lineRule="auto"/>
        <w:rPr>
          <w:sz w:val="22"/>
          <w:szCs w:val="22"/>
        </w:rPr>
      </w:pPr>
      <w:proofErr w:type="gramStart"/>
      <w:r w:rsidRPr="00A26F20">
        <w:rPr>
          <w:sz w:val="22"/>
          <w:szCs w:val="22"/>
        </w:rPr>
        <w:t>where</w:t>
      </w:r>
      <w:proofErr w:type="gramEnd"/>
      <w:r w:rsidRPr="00A26F20">
        <w:rPr>
          <w:sz w:val="22"/>
          <w:szCs w:val="22"/>
        </w:rPr>
        <w:t xml:space="preserve"> the fraction is equal to tissue dose received from the exposure type </w:t>
      </w:r>
      <w:r w:rsidRPr="00A26F20">
        <w:rPr>
          <w:i/>
          <w:sz w:val="22"/>
          <w:szCs w:val="22"/>
        </w:rPr>
        <w:t>j</w:t>
      </w:r>
      <w:r w:rsidR="008F3F26" w:rsidRPr="00A26F20">
        <w:rPr>
          <w:sz w:val="22"/>
          <w:szCs w:val="22"/>
        </w:rPr>
        <w:t>, i.e.</w:t>
      </w:r>
      <w:r w:rsidR="00E40FC7" w:rsidRPr="00A26F20">
        <w:rPr>
          <w:sz w:val="22"/>
          <w:szCs w:val="22"/>
        </w:rPr>
        <w:t xml:space="preserve"> the effective dose is obtained as it is currently used in radiation protection. </w:t>
      </w:r>
      <w:r w:rsidR="00813971">
        <w:rPr>
          <w:sz w:val="22"/>
          <w:szCs w:val="22"/>
        </w:rPr>
        <w:t>In this deduction, we do</w:t>
      </w:r>
      <w:r w:rsidRPr="00A26F20">
        <w:rPr>
          <w:sz w:val="22"/>
          <w:szCs w:val="22"/>
        </w:rPr>
        <w:t xml:space="preserve"> not consider the absorbed dose of other organs. </w:t>
      </w:r>
      <w:r w:rsidR="00DE764A" w:rsidRPr="00A26F20">
        <w:rPr>
          <w:sz w:val="22"/>
          <w:szCs w:val="22"/>
        </w:rPr>
        <w:t xml:space="preserve">However, if the weighting factors are introduced with equation (2), </w:t>
      </w:r>
      <w:r w:rsidR="00B47AC4" w:rsidRPr="00A26F20">
        <w:rPr>
          <w:sz w:val="22"/>
          <w:szCs w:val="22"/>
        </w:rPr>
        <w:t xml:space="preserve">and </w:t>
      </w:r>
      <w:r w:rsidR="00813971">
        <w:rPr>
          <w:sz w:val="22"/>
          <w:szCs w:val="22"/>
        </w:rPr>
        <w:t>alternative equivalent</w:t>
      </w:r>
      <w:r w:rsidR="00DE764A" w:rsidRPr="00A26F20">
        <w:rPr>
          <w:sz w:val="22"/>
          <w:szCs w:val="22"/>
        </w:rPr>
        <w:t xml:space="preserve"> dose is </w:t>
      </w:r>
      <w:r w:rsidR="00B47AC4" w:rsidRPr="00A26F20">
        <w:rPr>
          <w:sz w:val="22"/>
          <w:szCs w:val="22"/>
        </w:rPr>
        <w:t>linear function of the absorbed dose</w:t>
      </w:r>
      <w:r w:rsidR="008F3F26" w:rsidRPr="00A26F20">
        <w:rPr>
          <w:sz w:val="22"/>
          <w:szCs w:val="22"/>
        </w:rPr>
        <w:t xml:space="preserve">, then alternative effective dose is independent on </w:t>
      </w:r>
      <w:r w:rsidR="00DE764A" w:rsidRPr="00A26F20">
        <w:rPr>
          <w:sz w:val="22"/>
          <w:szCs w:val="22"/>
        </w:rPr>
        <w:t xml:space="preserve">the TU size </w:t>
      </w:r>
      <w:r w:rsidR="008F3F26" w:rsidRPr="00A26F20">
        <w:rPr>
          <w:sz w:val="22"/>
          <w:szCs w:val="22"/>
        </w:rPr>
        <w:t xml:space="preserve">where absorbed dose is calculated </w:t>
      </w:r>
      <w:r w:rsidR="00DE764A" w:rsidRPr="00A26F20">
        <w:rPr>
          <w:sz w:val="22"/>
          <w:szCs w:val="22"/>
        </w:rPr>
        <w:t>even in the</w:t>
      </w:r>
      <w:r w:rsidR="00947E15">
        <w:rPr>
          <w:sz w:val="22"/>
          <w:szCs w:val="22"/>
        </w:rPr>
        <w:t xml:space="preserve"> case of a whole body exposure.</w:t>
      </w:r>
    </w:p>
    <w:p w:rsidR="008E56E0" w:rsidRPr="00A26F20" w:rsidRDefault="00566EE0" w:rsidP="00E650A9">
      <w:pPr>
        <w:spacing w:line="240" w:lineRule="auto"/>
        <w:rPr>
          <w:sz w:val="22"/>
          <w:szCs w:val="22"/>
        </w:rPr>
      </w:pPr>
      <w:r w:rsidRPr="00A26F20">
        <w:rPr>
          <w:sz w:val="22"/>
          <w:szCs w:val="22"/>
        </w:rPr>
        <w:t>Comparing panels</w:t>
      </w:r>
      <w:r w:rsidR="00EF21D8" w:rsidRPr="00A26F20">
        <w:rPr>
          <w:sz w:val="22"/>
          <w:szCs w:val="22"/>
        </w:rPr>
        <w:t xml:space="preserve"> </w:t>
      </w:r>
      <w:proofErr w:type="gramStart"/>
      <w:r w:rsidR="00947E15">
        <w:rPr>
          <w:sz w:val="22"/>
          <w:szCs w:val="22"/>
        </w:rPr>
        <w:t>a</w:t>
      </w:r>
      <w:r w:rsidR="00EF21D8" w:rsidRPr="00A26F20">
        <w:rPr>
          <w:sz w:val="22"/>
          <w:szCs w:val="22"/>
        </w:rPr>
        <w:t xml:space="preserve"> and</w:t>
      </w:r>
      <w:proofErr w:type="gramEnd"/>
      <w:r w:rsidR="00EF21D8" w:rsidRPr="00A26F20">
        <w:rPr>
          <w:sz w:val="22"/>
          <w:szCs w:val="22"/>
        </w:rPr>
        <w:t xml:space="preserve"> </w:t>
      </w:r>
      <w:r w:rsidR="00947E15">
        <w:rPr>
          <w:sz w:val="22"/>
          <w:szCs w:val="22"/>
        </w:rPr>
        <w:t>b</w:t>
      </w:r>
      <w:r w:rsidRPr="00A26F20">
        <w:rPr>
          <w:sz w:val="22"/>
          <w:szCs w:val="22"/>
        </w:rPr>
        <w:t xml:space="preserve">, </w:t>
      </w:r>
      <w:r w:rsidR="008976A2" w:rsidRPr="00A26F20">
        <w:rPr>
          <w:sz w:val="22"/>
          <w:szCs w:val="22"/>
        </w:rPr>
        <w:t>it</w:t>
      </w:r>
      <w:r w:rsidRPr="00A26F20">
        <w:rPr>
          <w:sz w:val="22"/>
          <w:szCs w:val="22"/>
        </w:rPr>
        <w:t xml:space="preserve"> </w:t>
      </w:r>
      <w:r w:rsidR="008976A2" w:rsidRPr="00A26F20">
        <w:rPr>
          <w:sz w:val="22"/>
          <w:szCs w:val="22"/>
        </w:rPr>
        <w:t xml:space="preserve">can be observed that </w:t>
      </w:r>
      <w:r w:rsidRPr="00A26F20">
        <w:rPr>
          <w:sz w:val="22"/>
          <w:szCs w:val="22"/>
        </w:rPr>
        <w:t xml:space="preserve">the </w:t>
      </w:r>
      <w:r w:rsidR="008976A2" w:rsidRPr="00A26F20">
        <w:rPr>
          <w:sz w:val="22"/>
          <w:szCs w:val="22"/>
        </w:rPr>
        <w:t xml:space="preserve">threshold where green line starts to </w:t>
      </w:r>
      <w:r w:rsidR="00A20053" w:rsidRPr="00A26F20">
        <w:rPr>
          <w:sz w:val="22"/>
          <w:szCs w:val="22"/>
        </w:rPr>
        <w:t>increase</w:t>
      </w:r>
      <w:r w:rsidR="008976A2" w:rsidRPr="00A26F20">
        <w:rPr>
          <w:sz w:val="22"/>
          <w:szCs w:val="22"/>
        </w:rPr>
        <w:t xml:space="preserve"> is smoother in panel </w:t>
      </w:r>
      <w:r w:rsidR="00947E15">
        <w:rPr>
          <w:sz w:val="22"/>
          <w:szCs w:val="22"/>
        </w:rPr>
        <w:t>b</w:t>
      </w:r>
      <w:r w:rsidR="008976A2" w:rsidRPr="00A26F20">
        <w:rPr>
          <w:sz w:val="22"/>
          <w:szCs w:val="22"/>
        </w:rPr>
        <w:t xml:space="preserve"> than in panel </w:t>
      </w:r>
      <w:r w:rsidR="00947E15">
        <w:rPr>
          <w:sz w:val="22"/>
          <w:szCs w:val="22"/>
        </w:rPr>
        <w:t>a</w:t>
      </w:r>
      <w:r w:rsidR="008976A2" w:rsidRPr="00A26F20">
        <w:rPr>
          <w:sz w:val="22"/>
          <w:szCs w:val="22"/>
        </w:rPr>
        <w:t xml:space="preserve">. </w:t>
      </w:r>
      <w:r w:rsidR="004D6252" w:rsidRPr="00A26F20">
        <w:rPr>
          <w:sz w:val="22"/>
          <w:szCs w:val="22"/>
        </w:rPr>
        <w:t xml:space="preserve">Since the variance of dose absorbed by individual TUs is not zero, </w:t>
      </w:r>
      <w:r w:rsidR="004D6252" w:rsidRPr="00A26F20">
        <w:rPr>
          <w:sz w:val="22"/>
          <w:szCs w:val="22"/>
        </w:rPr>
        <w:lastRenderedPageBreak/>
        <w:t>absorbed dose in some TUs reach the threshold of 96 </w:t>
      </w:r>
      <w:proofErr w:type="spellStart"/>
      <w:r w:rsidR="004D6252" w:rsidRPr="00A26F20">
        <w:rPr>
          <w:sz w:val="22"/>
          <w:szCs w:val="22"/>
        </w:rPr>
        <w:t>mGy</w:t>
      </w:r>
      <w:proofErr w:type="spellEnd"/>
      <w:r w:rsidR="004D6252" w:rsidRPr="00A26F20">
        <w:rPr>
          <w:sz w:val="22"/>
          <w:szCs w:val="22"/>
        </w:rPr>
        <w:t xml:space="preserve"> at lower exposure than the average over all the TUs.</w:t>
      </w:r>
      <w:r w:rsidR="008069D0" w:rsidRPr="00A26F20">
        <w:rPr>
          <w:sz w:val="22"/>
          <w:szCs w:val="22"/>
        </w:rPr>
        <w:t xml:space="preserve"> In case of the other curves no significant differences can be observed. This means that at the applied TU size, </w:t>
      </w:r>
      <w:proofErr w:type="spellStart"/>
      <w:r w:rsidR="008069D0" w:rsidRPr="00A26F20">
        <w:rPr>
          <w:sz w:val="22"/>
          <w:szCs w:val="22"/>
        </w:rPr>
        <w:t>microdosimetric</w:t>
      </w:r>
      <w:proofErr w:type="spellEnd"/>
      <w:r w:rsidR="008069D0" w:rsidRPr="00A26F20">
        <w:rPr>
          <w:sz w:val="22"/>
          <w:szCs w:val="22"/>
        </w:rPr>
        <w:t xml:space="preserve"> approach is not necessary if the dose distribution is homogeneous.</w:t>
      </w:r>
    </w:p>
    <w:p w:rsidR="00495CCF" w:rsidRPr="00A26F20" w:rsidRDefault="00566EE0" w:rsidP="00E650A9">
      <w:pPr>
        <w:spacing w:line="240" w:lineRule="auto"/>
        <w:rPr>
          <w:sz w:val="22"/>
          <w:szCs w:val="22"/>
        </w:rPr>
      </w:pPr>
      <w:r w:rsidRPr="00A26F20">
        <w:rPr>
          <w:sz w:val="22"/>
          <w:szCs w:val="22"/>
        </w:rPr>
        <w:t>Comparing panels</w:t>
      </w:r>
      <w:r w:rsidR="00947E15">
        <w:rPr>
          <w:sz w:val="22"/>
          <w:szCs w:val="22"/>
        </w:rPr>
        <w:t xml:space="preserve"> </w:t>
      </w:r>
      <w:proofErr w:type="gramStart"/>
      <w:r w:rsidR="00947E15">
        <w:rPr>
          <w:sz w:val="22"/>
          <w:szCs w:val="22"/>
        </w:rPr>
        <w:t>a and</w:t>
      </w:r>
      <w:proofErr w:type="gramEnd"/>
      <w:r w:rsidR="00947E15">
        <w:rPr>
          <w:sz w:val="22"/>
          <w:szCs w:val="22"/>
        </w:rPr>
        <w:t xml:space="preserve"> c</w:t>
      </w:r>
      <w:r w:rsidRPr="00A26F20">
        <w:rPr>
          <w:sz w:val="22"/>
          <w:szCs w:val="22"/>
        </w:rPr>
        <w:t xml:space="preserve">, </w:t>
      </w:r>
      <w:r w:rsidR="00684039" w:rsidRPr="00A26F20">
        <w:rPr>
          <w:sz w:val="22"/>
          <w:szCs w:val="22"/>
        </w:rPr>
        <w:t xml:space="preserve">it can be observed that </w:t>
      </w:r>
      <w:r w:rsidRPr="00A26F20">
        <w:rPr>
          <w:sz w:val="22"/>
          <w:szCs w:val="22"/>
        </w:rPr>
        <w:t>all the non-linear functions are much smooth</w:t>
      </w:r>
      <w:r w:rsidR="00947E15">
        <w:rPr>
          <w:sz w:val="22"/>
          <w:szCs w:val="22"/>
        </w:rPr>
        <w:t>er in panel c than in panel a</w:t>
      </w:r>
      <w:r w:rsidR="00787721" w:rsidRPr="00A26F20">
        <w:rPr>
          <w:sz w:val="22"/>
          <w:szCs w:val="22"/>
        </w:rPr>
        <w:t>.</w:t>
      </w:r>
      <w:r w:rsidRPr="00A26F20">
        <w:rPr>
          <w:sz w:val="22"/>
          <w:szCs w:val="22"/>
        </w:rPr>
        <w:t xml:space="preserve"> </w:t>
      </w:r>
      <w:r w:rsidR="00684039" w:rsidRPr="00A26F20">
        <w:rPr>
          <w:sz w:val="22"/>
          <w:szCs w:val="22"/>
        </w:rPr>
        <w:t xml:space="preserve">If the exposure is inhomogeneous, the range where a difference between the linear and non-linear functions can be seen is wider, but the maximal difference </w:t>
      </w:r>
      <w:r w:rsidR="00787721" w:rsidRPr="00A26F20">
        <w:rPr>
          <w:sz w:val="22"/>
          <w:szCs w:val="22"/>
        </w:rPr>
        <w:t xml:space="preserve">is much less. </w:t>
      </w:r>
      <w:r w:rsidR="00947E15">
        <w:rPr>
          <w:sz w:val="22"/>
          <w:szCs w:val="22"/>
        </w:rPr>
        <w:t>This suggests that possible non</w:t>
      </w:r>
      <w:r w:rsidR="00787721" w:rsidRPr="00A26F20">
        <w:rPr>
          <w:sz w:val="22"/>
          <w:szCs w:val="22"/>
        </w:rPr>
        <w:t>linearity in the low dose range is less significant in case of inhomogeneous exposures than in case of homogeneous ones.</w:t>
      </w:r>
    </w:p>
    <w:p w:rsidR="00495CCF" w:rsidRPr="00A26F20" w:rsidRDefault="00E04FE8" w:rsidP="00E650A9">
      <w:pPr>
        <w:keepNext/>
        <w:spacing w:line="240" w:lineRule="auto"/>
        <w:jc w:val="center"/>
        <w:rPr>
          <w:sz w:val="22"/>
          <w:szCs w:val="22"/>
        </w:rPr>
      </w:pPr>
      <w:r w:rsidRPr="00A26F20">
        <w:rPr>
          <w:noProof/>
          <w:sz w:val="22"/>
          <w:szCs w:val="22"/>
          <w:lang w:val="hu-HU" w:eastAsia="hu-HU"/>
        </w:rPr>
        <w:lastRenderedPageBreak/>
        <w:drawing>
          <wp:inline distT="0" distB="0" distL="0" distR="0" wp14:anchorId="57012153" wp14:editId="6168409F">
            <wp:extent cx="4140000" cy="816840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6.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40000" cy="8168400"/>
                    </a:xfrm>
                    <a:prstGeom prst="rect">
                      <a:avLst/>
                    </a:prstGeom>
                  </pic:spPr>
                </pic:pic>
              </a:graphicData>
            </a:graphic>
          </wp:inline>
        </w:drawing>
      </w:r>
    </w:p>
    <w:p w:rsidR="00495CCF" w:rsidRPr="00A26F20" w:rsidRDefault="00495CCF" w:rsidP="00E650A9">
      <w:pPr>
        <w:pStyle w:val="Kpalrs"/>
        <w:rPr>
          <w:b w:val="0"/>
          <w:color w:val="auto"/>
          <w:sz w:val="22"/>
          <w:szCs w:val="22"/>
        </w:rPr>
      </w:pPr>
      <w:proofErr w:type="gramStart"/>
      <w:r w:rsidRPr="00A26F20">
        <w:rPr>
          <w:color w:val="auto"/>
          <w:sz w:val="22"/>
          <w:szCs w:val="22"/>
        </w:rPr>
        <w:t>Figure</w:t>
      </w:r>
      <w:r w:rsidR="00947E15">
        <w:rPr>
          <w:color w:val="auto"/>
          <w:sz w:val="22"/>
          <w:szCs w:val="22"/>
        </w:rPr>
        <w:t> </w:t>
      </w:r>
      <w:r w:rsidRPr="00A26F20">
        <w:rPr>
          <w:color w:val="auto"/>
          <w:sz w:val="22"/>
          <w:szCs w:val="22"/>
        </w:rPr>
        <w:fldChar w:fldCharType="begin"/>
      </w:r>
      <w:r w:rsidRPr="00A26F20">
        <w:rPr>
          <w:color w:val="auto"/>
          <w:sz w:val="22"/>
          <w:szCs w:val="22"/>
        </w:rPr>
        <w:instrText xml:space="preserve"> SEQ Figure \* ARABIC </w:instrText>
      </w:r>
      <w:r w:rsidRPr="00A26F20">
        <w:rPr>
          <w:color w:val="auto"/>
          <w:sz w:val="22"/>
          <w:szCs w:val="22"/>
        </w:rPr>
        <w:fldChar w:fldCharType="separate"/>
      </w:r>
      <w:r w:rsidR="007862EC" w:rsidRPr="00A26F20">
        <w:rPr>
          <w:noProof/>
          <w:color w:val="auto"/>
          <w:sz w:val="22"/>
          <w:szCs w:val="22"/>
        </w:rPr>
        <w:t>2</w:t>
      </w:r>
      <w:r w:rsidRPr="00A26F20">
        <w:rPr>
          <w:color w:val="auto"/>
          <w:sz w:val="22"/>
          <w:szCs w:val="22"/>
        </w:rPr>
        <w:fldChar w:fldCharType="end"/>
      </w:r>
      <w:r w:rsidRPr="00A26F20">
        <w:rPr>
          <w:color w:val="auto"/>
          <w:sz w:val="22"/>
          <w:szCs w:val="22"/>
        </w:rPr>
        <w:t>.</w:t>
      </w:r>
      <w:proofErr w:type="gramEnd"/>
      <w:r w:rsidRPr="00A26F20">
        <w:rPr>
          <w:b w:val="0"/>
          <w:color w:val="auto"/>
          <w:sz w:val="22"/>
          <w:szCs w:val="22"/>
        </w:rPr>
        <w:t xml:space="preserve"> Alternative effective dose as the function of mean tissue dose computed fr</w:t>
      </w:r>
      <w:r w:rsidR="00947E15">
        <w:rPr>
          <w:b w:val="0"/>
          <w:color w:val="auto"/>
          <w:sz w:val="22"/>
          <w:szCs w:val="22"/>
        </w:rPr>
        <w:t>om the mean tissue dose (panel a</w:t>
      </w:r>
      <w:r w:rsidRPr="00A26F20">
        <w:rPr>
          <w:b w:val="0"/>
          <w:color w:val="auto"/>
          <w:sz w:val="22"/>
          <w:szCs w:val="22"/>
        </w:rPr>
        <w:t xml:space="preserve">), considering the dose distribution in TUs supposing homogeneous exposure </w:t>
      </w:r>
      <w:r w:rsidR="00947E15">
        <w:rPr>
          <w:b w:val="0"/>
          <w:color w:val="auto"/>
          <w:sz w:val="22"/>
          <w:szCs w:val="22"/>
        </w:rPr>
        <w:t>(panel b</w:t>
      </w:r>
      <w:r w:rsidRPr="00A26F20">
        <w:rPr>
          <w:b w:val="0"/>
          <w:color w:val="auto"/>
          <w:sz w:val="22"/>
          <w:szCs w:val="22"/>
        </w:rPr>
        <w:t>), and considering the dose distribution in T</w:t>
      </w:r>
      <w:r w:rsidR="00947E15">
        <w:rPr>
          <w:b w:val="0"/>
          <w:color w:val="auto"/>
          <w:sz w:val="22"/>
          <w:szCs w:val="22"/>
        </w:rPr>
        <w:t>Us taking into account the realistic inhomogeneous exposure (panel c</w:t>
      </w:r>
      <w:r w:rsidRPr="00A26F20">
        <w:rPr>
          <w:b w:val="0"/>
          <w:color w:val="auto"/>
          <w:sz w:val="22"/>
          <w:szCs w:val="22"/>
        </w:rPr>
        <w:t>). The figure does not give account on the β-radiation dose.</w:t>
      </w:r>
    </w:p>
    <w:p w:rsidR="001A1963" w:rsidRPr="00A26F20" w:rsidRDefault="0012782C" w:rsidP="00E650A9">
      <w:pPr>
        <w:spacing w:line="240" w:lineRule="auto"/>
        <w:rPr>
          <w:sz w:val="22"/>
          <w:szCs w:val="22"/>
        </w:rPr>
      </w:pPr>
      <w:r w:rsidRPr="00A26F20">
        <w:rPr>
          <w:sz w:val="22"/>
          <w:szCs w:val="22"/>
        </w:rPr>
        <w:lastRenderedPageBreak/>
        <w:t>Figure</w:t>
      </w:r>
      <w:r w:rsidR="00A119B6" w:rsidRPr="00A26F20">
        <w:rPr>
          <w:sz w:val="22"/>
          <w:szCs w:val="22"/>
        </w:rPr>
        <w:t> </w:t>
      </w:r>
      <w:r w:rsidR="0026350C">
        <w:rPr>
          <w:sz w:val="22"/>
          <w:szCs w:val="22"/>
        </w:rPr>
        <w:t>3</w:t>
      </w:r>
      <w:r w:rsidRPr="00A26F20">
        <w:rPr>
          <w:sz w:val="22"/>
          <w:szCs w:val="22"/>
        </w:rPr>
        <w:t xml:space="preserve"> shows the case when besides α-radiation a homogeneous β-expo</w:t>
      </w:r>
      <w:r w:rsidR="0026350C">
        <w:rPr>
          <w:sz w:val="22"/>
          <w:szCs w:val="22"/>
        </w:rPr>
        <w:t>sure is also considered. Panel a</w:t>
      </w:r>
      <w:r w:rsidRPr="00A26F20">
        <w:rPr>
          <w:sz w:val="22"/>
          <w:szCs w:val="22"/>
        </w:rPr>
        <w:t xml:space="preserve"> represents the simulations when TUs are not taken into account, i.e. alternative effective dose and nominal excess risk are calculated from absorbed dose averaged </w:t>
      </w:r>
      <w:r w:rsidR="0026350C">
        <w:rPr>
          <w:sz w:val="22"/>
          <w:szCs w:val="22"/>
        </w:rPr>
        <w:t>for the whole tissue. In panel b</w:t>
      </w:r>
      <w:r w:rsidRPr="00A26F20">
        <w:rPr>
          <w:sz w:val="22"/>
          <w:szCs w:val="22"/>
        </w:rPr>
        <w:t xml:space="preserve">, absorbed doses are </w:t>
      </w:r>
      <w:r w:rsidR="0026350C">
        <w:rPr>
          <w:sz w:val="22"/>
          <w:szCs w:val="22"/>
        </w:rPr>
        <w:t xml:space="preserve">computed for the </w:t>
      </w:r>
      <w:proofErr w:type="gramStart"/>
      <w:r w:rsidR="0026350C">
        <w:rPr>
          <w:sz w:val="22"/>
          <w:szCs w:val="22"/>
        </w:rPr>
        <w:t>TUs,</w:t>
      </w:r>
      <w:proofErr w:type="gramEnd"/>
      <w:r w:rsidR="0026350C">
        <w:rPr>
          <w:sz w:val="22"/>
          <w:szCs w:val="22"/>
        </w:rPr>
        <w:t xml:space="preserve"> however α-</w:t>
      </w:r>
      <w:r w:rsidRPr="00A26F20">
        <w:rPr>
          <w:sz w:val="22"/>
          <w:szCs w:val="22"/>
        </w:rPr>
        <w:t>hit distribution is supposed to be homo</w:t>
      </w:r>
      <w:r w:rsidR="0026350C">
        <w:rPr>
          <w:sz w:val="22"/>
          <w:szCs w:val="22"/>
        </w:rPr>
        <w:t>geneous over the TUs. In panel c</w:t>
      </w:r>
      <w:r w:rsidRPr="00A26F20">
        <w:rPr>
          <w:sz w:val="22"/>
          <w:szCs w:val="22"/>
        </w:rPr>
        <w:t xml:space="preserve">, the </w:t>
      </w:r>
      <w:r w:rsidR="00EF21D8" w:rsidRPr="00A26F20">
        <w:rPr>
          <w:sz w:val="22"/>
          <w:szCs w:val="22"/>
        </w:rPr>
        <w:t xml:space="preserve">realistic inhomogeneous </w:t>
      </w:r>
      <w:r w:rsidRPr="00A26F20">
        <w:rPr>
          <w:sz w:val="22"/>
          <w:szCs w:val="22"/>
        </w:rPr>
        <w:t>deposition distribution of radon progeny is considered resulting in inhomogeneous α-exposure, but β-exposure is supposed to be homogeneous.</w:t>
      </w:r>
      <w:r w:rsidR="00A119B6" w:rsidRPr="00A26F20">
        <w:rPr>
          <w:sz w:val="22"/>
          <w:szCs w:val="22"/>
        </w:rPr>
        <w:t xml:space="preserve"> It is important to note that the slope of the curves over the low dose range is less </w:t>
      </w:r>
      <w:r w:rsidR="0026350C">
        <w:rPr>
          <w:sz w:val="22"/>
          <w:szCs w:val="22"/>
        </w:rPr>
        <w:t>in figure 3</w:t>
      </w:r>
      <w:r w:rsidR="001A1963" w:rsidRPr="00A26F20">
        <w:rPr>
          <w:sz w:val="22"/>
          <w:szCs w:val="22"/>
        </w:rPr>
        <w:t xml:space="preserve"> </w:t>
      </w:r>
      <w:r w:rsidR="0026350C">
        <w:rPr>
          <w:sz w:val="22"/>
          <w:szCs w:val="22"/>
        </w:rPr>
        <w:t>than in figure 2</w:t>
      </w:r>
      <w:r w:rsidR="00A119B6" w:rsidRPr="00A26F20">
        <w:rPr>
          <w:sz w:val="22"/>
          <w:szCs w:val="22"/>
        </w:rPr>
        <w:t>, because</w:t>
      </w:r>
      <w:r w:rsidR="001A1963" w:rsidRPr="00A26F20">
        <w:rPr>
          <w:sz w:val="22"/>
          <w:szCs w:val="22"/>
        </w:rPr>
        <w:t xml:space="preserve"> the same absorbed dose from a mixed α- and β-exposure results in lower equivalent (and effective) dose than that from a pure α-exposure.</w:t>
      </w:r>
    </w:p>
    <w:p w:rsidR="00D47407" w:rsidRPr="00A26F20" w:rsidRDefault="0026350C" w:rsidP="00E650A9">
      <w:pPr>
        <w:spacing w:line="240" w:lineRule="auto"/>
        <w:rPr>
          <w:sz w:val="22"/>
          <w:szCs w:val="22"/>
        </w:rPr>
      </w:pPr>
      <w:r>
        <w:rPr>
          <w:sz w:val="22"/>
          <w:szCs w:val="22"/>
        </w:rPr>
        <w:t>Similarly to figure 2</w:t>
      </w:r>
      <w:r w:rsidR="0012782C" w:rsidRPr="00A26F20">
        <w:rPr>
          <w:sz w:val="22"/>
          <w:szCs w:val="22"/>
        </w:rPr>
        <w:t>, onl</w:t>
      </w:r>
      <w:r>
        <w:rPr>
          <w:sz w:val="22"/>
          <w:szCs w:val="22"/>
        </w:rPr>
        <w:t xml:space="preserve">y one difference between panel </w:t>
      </w:r>
      <w:proofErr w:type="gramStart"/>
      <w:r>
        <w:rPr>
          <w:sz w:val="22"/>
          <w:szCs w:val="22"/>
        </w:rPr>
        <w:t>a and</w:t>
      </w:r>
      <w:proofErr w:type="gramEnd"/>
      <w:r>
        <w:rPr>
          <w:sz w:val="22"/>
          <w:szCs w:val="22"/>
        </w:rPr>
        <w:t xml:space="preserve"> b</w:t>
      </w:r>
      <w:r w:rsidR="0012782C" w:rsidRPr="00A26F20">
        <w:rPr>
          <w:sz w:val="22"/>
          <w:szCs w:val="22"/>
        </w:rPr>
        <w:t xml:space="preserve"> can be observed</w:t>
      </w:r>
      <w:r>
        <w:rPr>
          <w:sz w:val="22"/>
          <w:szCs w:val="22"/>
        </w:rPr>
        <w:t xml:space="preserve"> in figure 3</w:t>
      </w:r>
      <w:r w:rsidR="0012782C" w:rsidRPr="00A26F20">
        <w:rPr>
          <w:sz w:val="22"/>
          <w:szCs w:val="22"/>
        </w:rPr>
        <w:t xml:space="preserve">. </w:t>
      </w:r>
      <w:r w:rsidR="00BE669D" w:rsidRPr="00A26F20">
        <w:rPr>
          <w:sz w:val="22"/>
          <w:szCs w:val="22"/>
        </w:rPr>
        <w:t>In case of the green line, the threshol</w:t>
      </w:r>
      <w:r>
        <w:rPr>
          <w:sz w:val="22"/>
          <w:szCs w:val="22"/>
        </w:rPr>
        <w:t>d dose is less sharp</w:t>
      </w:r>
      <w:r w:rsidR="00BE669D" w:rsidRPr="00A26F20">
        <w:rPr>
          <w:sz w:val="22"/>
          <w:szCs w:val="22"/>
        </w:rPr>
        <w:t xml:space="preserve"> if absorbed dose is not average</w:t>
      </w:r>
      <w:r>
        <w:rPr>
          <w:sz w:val="22"/>
          <w:szCs w:val="22"/>
        </w:rPr>
        <w:t>d over the whole tissue (panel b</w:t>
      </w:r>
      <w:r w:rsidR="00BE669D" w:rsidRPr="00A26F20">
        <w:rPr>
          <w:sz w:val="22"/>
          <w:szCs w:val="22"/>
        </w:rPr>
        <w:t xml:space="preserve">). </w:t>
      </w:r>
      <w:r>
        <w:rPr>
          <w:sz w:val="22"/>
          <w:szCs w:val="22"/>
        </w:rPr>
        <w:t>The non-linear curves in panel c</w:t>
      </w:r>
      <w:r w:rsidR="00BE669D" w:rsidRPr="00A26F20">
        <w:rPr>
          <w:sz w:val="22"/>
          <w:szCs w:val="22"/>
        </w:rPr>
        <w:t xml:space="preserve"> are much smoother than the corr</w:t>
      </w:r>
      <w:r>
        <w:rPr>
          <w:sz w:val="22"/>
          <w:szCs w:val="22"/>
        </w:rPr>
        <w:t xml:space="preserve">esponding ones in panel </w:t>
      </w:r>
      <w:proofErr w:type="gramStart"/>
      <w:r>
        <w:rPr>
          <w:sz w:val="22"/>
          <w:szCs w:val="22"/>
        </w:rPr>
        <w:t>a and</w:t>
      </w:r>
      <w:proofErr w:type="gramEnd"/>
      <w:r>
        <w:rPr>
          <w:sz w:val="22"/>
          <w:szCs w:val="22"/>
        </w:rPr>
        <w:t xml:space="preserve"> b</w:t>
      </w:r>
      <w:r w:rsidR="00A119B6" w:rsidRPr="00A26F20">
        <w:rPr>
          <w:sz w:val="22"/>
          <w:szCs w:val="22"/>
        </w:rPr>
        <w:t xml:space="preserve">, which can be interpreted that </w:t>
      </w:r>
      <w:r>
        <w:rPr>
          <w:sz w:val="22"/>
          <w:szCs w:val="22"/>
        </w:rPr>
        <w:t xml:space="preserve">nonlinearity in </w:t>
      </w:r>
      <w:r w:rsidR="00A119B6" w:rsidRPr="00A26F20">
        <w:rPr>
          <w:sz w:val="22"/>
          <w:szCs w:val="22"/>
        </w:rPr>
        <w:t>low dose effects are less significant if the exposure is inhomogen</w:t>
      </w:r>
      <w:r w:rsidR="00D47407" w:rsidRPr="00A26F20">
        <w:rPr>
          <w:sz w:val="22"/>
          <w:szCs w:val="22"/>
        </w:rPr>
        <w:t>eous than if it is homogeneous.</w:t>
      </w:r>
    </w:p>
    <w:p w:rsidR="00E8057A" w:rsidRPr="00A26F20" w:rsidRDefault="0026350C" w:rsidP="00E650A9">
      <w:pPr>
        <w:spacing w:line="240" w:lineRule="auto"/>
        <w:rPr>
          <w:sz w:val="22"/>
          <w:szCs w:val="22"/>
        </w:rPr>
      </w:pPr>
      <w:r>
        <w:rPr>
          <w:sz w:val="22"/>
          <w:szCs w:val="22"/>
        </w:rPr>
        <w:t>Panel c of figure 3 can be compared to panel c of figure 2</w:t>
      </w:r>
      <w:r w:rsidR="00D47407" w:rsidRPr="00A26F20">
        <w:rPr>
          <w:sz w:val="22"/>
          <w:szCs w:val="22"/>
        </w:rPr>
        <w:t xml:space="preserve">. It can be </w:t>
      </w:r>
      <w:r w:rsidR="00E8057A" w:rsidRPr="00A26F20">
        <w:rPr>
          <w:sz w:val="22"/>
          <w:szCs w:val="22"/>
        </w:rPr>
        <w:t>observed</w:t>
      </w:r>
      <w:r w:rsidR="00D47407" w:rsidRPr="00A26F20">
        <w:rPr>
          <w:sz w:val="22"/>
          <w:szCs w:val="22"/>
        </w:rPr>
        <w:t>, that the range where difference between the linear and non-linear curves is larger than a given value is less wide if a homogeneous exposure is added to the inhomogeneous one. Furthermore, the maximal differences between the non-linear and linear functions are</w:t>
      </w:r>
      <w:r w:rsidR="00E8057A" w:rsidRPr="00A26F20">
        <w:rPr>
          <w:sz w:val="22"/>
          <w:szCs w:val="22"/>
        </w:rPr>
        <w:t xml:space="preserve"> also smaller if the homogeneous β-exposure is taken into account. These results suggest that the significance of any non-linearity in the l</w:t>
      </w:r>
      <w:r>
        <w:rPr>
          <w:sz w:val="22"/>
          <w:szCs w:val="22"/>
        </w:rPr>
        <w:t>ow dose range may be even lower</w:t>
      </w:r>
      <w:r w:rsidR="00E8057A" w:rsidRPr="00A26F20">
        <w:rPr>
          <w:sz w:val="22"/>
          <w:szCs w:val="22"/>
        </w:rPr>
        <w:t xml:space="preserve"> if there is a homogeneous exposure besides the inhomogeneous one.</w:t>
      </w:r>
      <w:r>
        <w:rPr>
          <w:sz w:val="22"/>
          <w:szCs w:val="22"/>
        </w:rPr>
        <w:t xml:space="preserve"> However</w:t>
      </w:r>
      <w:r w:rsidRPr="0026350C">
        <w:rPr>
          <w:sz w:val="22"/>
          <w:szCs w:val="22"/>
        </w:rPr>
        <w:t xml:space="preserve">, it is worth to mention that in case of inhomogeneity parts of the tissue may receive high doses, where </w:t>
      </w:r>
      <w:r w:rsidR="00377173">
        <w:rPr>
          <w:sz w:val="22"/>
          <w:szCs w:val="22"/>
        </w:rPr>
        <w:t>other</w:t>
      </w:r>
      <w:r>
        <w:rPr>
          <w:sz w:val="22"/>
          <w:szCs w:val="22"/>
        </w:rPr>
        <w:t xml:space="preserve"> biological mechanisms may </w:t>
      </w:r>
      <w:r w:rsidRPr="0026350C">
        <w:rPr>
          <w:sz w:val="22"/>
          <w:szCs w:val="22"/>
        </w:rPr>
        <w:t xml:space="preserve">be activated </w:t>
      </w:r>
      <w:r w:rsidR="009E4793">
        <w:rPr>
          <w:sz w:val="22"/>
          <w:szCs w:val="22"/>
        </w:rPr>
        <w:t>resulting high-dose nonlinearity which</w:t>
      </w:r>
      <w:r w:rsidRPr="0026350C">
        <w:rPr>
          <w:sz w:val="22"/>
          <w:szCs w:val="22"/>
        </w:rPr>
        <w:t xml:space="preserve"> may significantly change the</w:t>
      </w:r>
      <w:r w:rsidR="009E4793">
        <w:rPr>
          <w:sz w:val="22"/>
          <w:szCs w:val="22"/>
        </w:rPr>
        <w:t xml:space="preserve"> related risk </w:t>
      </w:r>
      <w:r w:rsidR="00377173">
        <w:rPr>
          <w:sz w:val="22"/>
          <w:szCs w:val="22"/>
        </w:rPr>
        <w:fldChar w:fldCharType="begin"/>
      </w:r>
      <w:r w:rsidR="00377173">
        <w:rPr>
          <w:sz w:val="22"/>
          <w:szCs w:val="22"/>
        </w:rPr>
        <w:instrText xml:space="preserve"> ADDIN EN.CITE &lt;EndNote&gt;&lt;Cite&gt;&lt;Author&gt;Madas&lt;/Author&gt;&lt;Year&gt;2011&lt;/Year&gt;&lt;IDText&gt;Mutation induction by inhaled radon progeny modeled at the tissue level&lt;/IDText&gt;&lt;DisplayText&gt;(Madas and Balásházy, 2011)&lt;/DisplayText&gt;&lt;record&gt;&lt;dates&gt;&lt;pub-dates&gt;&lt;date&gt;Nov&lt;/date&gt;&lt;/pub-dates&gt;&lt;year&gt;2011&lt;/year&gt;&lt;/dates&gt;&lt;keywords&gt;&lt;keyword&gt;DOUBLE-STRAND BREAKS&lt;/keyword&gt;&lt;keyword&gt;LUNG-CANCER&lt;/keyword&gt;&lt;keyword&gt;DEPOSITION PATTERNS&lt;/keyword&gt;&lt;keyword&gt;&lt;/keyword&gt;&lt;keyword&gt;MOLECULAR-SPECTRUM&lt;/keyword&gt;&lt;keyword&gt;HUMAN FIBROBLASTS&lt;/keyword&gt;&lt;keyword&gt;MAMMALIAN-CELLS&lt;/keyword&gt;&lt;keyword&gt;ALPHA-PARTICLES&lt;/keyword&gt;&lt;keyword&gt;&lt;/keyword&gt;&lt;keyword&gt;URANIUM MINERS&lt;/keyword&gt;&lt;keyword&gt;RADIATION&lt;/keyword&gt;&lt;keyword&gt;NUMBER&lt;/keyword&gt;&lt;/keywords&gt;&lt;urls&gt;&lt;related-urls&gt;&lt;url&gt;&amp;lt;Go to ISI&amp;gt;://WOS:000296093600006&lt;/url&gt;&lt;/related-urls&gt;&lt;/urls&gt;&lt;isbn&gt;0301-634X&lt;/isbn&gt;&lt;work-type&gt;Article&lt;/work-type&gt;&lt;titles&gt;&lt;title&gt;Mutation induction by inhaled radon progeny modeled at the tissue level&lt;/title&gt;&lt;secondary-title&gt;Radiation and Environmental Biophysics&lt;/secondary-title&gt;&lt;alt-title&gt;Radiat. Environ. Biophys.&lt;/alt-title&gt;&lt;/titles&gt;&lt;pages&gt;553-570&lt;/pages&gt;&lt;number&gt;4&lt;/number&gt;&lt;contributors&gt;&lt;authors&gt;&lt;author&gt;Madas, B. G.&lt;/author&gt;&lt;author&gt;Balásházy, I.&lt;/author&gt;&lt;/authors&gt;&lt;/contributors&gt;&lt;language&gt;English&lt;/language&gt;&lt;added-date format="utc"&gt;1320918215&lt;/added-date&gt;&lt;ref-type name="Journal Article"&gt;17&lt;/ref-type&gt;&lt;auth-address&gt;[Madas, BG&amp;#xD;Balashazy, I] Hungarian Acad Sci, KFKI Atom Energy Res Inst, Budapest, Hungary.&amp;#xD;Madas, BG (reprint author), Hungarian Acad Sci, KFKI Atom Energy Res Inst, Budapest, Hungary&amp;#xD;mabage@aeki.kfki.hu&lt;/auth-address&gt;&lt;rec-number&gt;280&lt;/rec-number&gt;&lt;last-updated-date format="utc"&gt;1331763559&lt;/last-updated-date&gt;&lt;accession-num&gt;WOS:000296093600006&lt;/accession-num&gt;&lt;electronic-resource-num&gt;10.1007/s00411-011-0382-9&lt;/electronic-resource-num&gt;&lt;volume&gt;50&lt;/volume&gt;&lt;/record&gt;&lt;/Cite&gt;&lt;/EndNote&gt;</w:instrText>
      </w:r>
      <w:r w:rsidR="00377173">
        <w:rPr>
          <w:sz w:val="22"/>
          <w:szCs w:val="22"/>
        </w:rPr>
        <w:fldChar w:fldCharType="separate"/>
      </w:r>
      <w:r w:rsidR="00377173">
        <w:rPr>
          <w:noProof/>
          <w:sz w:val="22"/>
          <w:szCs w:val="22"/>
        </w:rPr>
        <w:t>(Madas and Balásházy, 2011)</w:t>
      </w:r>
      <w:r w:rsidR="00377173">
        <w:rPr>
          <w:sz w:val="22"/>
          <w:szCs w:val="22"/>
        </w:rPr>
        <w:fldChar w:fldCharType="end"/>
      </w:r>
      <w:r w:rsidR="00377173">
        <w:rPr>
          <w:sz w:val="22"/>
          <w:szCs w:val="22"/>
        </w:rPr>
        <w:t>.</w:t>
      </w:r>
    </w:p>
    <w:p w:rsidR="00A23B60" w:rsidRPr="00425CB1" w:rsidRDefault="00E04FE8" w:rsidP="00E650A9">
      <w:pPr>
        <w:keepNext/>
        <w:spacing w:line="240" w:lineRule="auto"/>
        <w:jc w:val="center"/>
      </w:pPr>
      <w:r>
        <w:rPr>
          <w:noProof/>
          <w:lang w:val="hu-HU" w:eastAsia="hu-HU"/>
        </w:rPr>
        <w:lastRenderedPageBreak/>
        <w:drawing>
          <wp:inline distT="0" distB="0" distL="0" distR="0" wp14:anchorId="7783FAEF" wp14:editId="1D3EA799">
            <wp:extent cx="4140000" cy="7999200"/>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7.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40000" cy="7999200"/>
                    </a:xfrm>
                    <a:prstGeom prst="rect">
                      <a:avLst/>
                    </a:prstGeom>
                  </pic:spPr>
                </pic:pic>
              </a:graphicData>
            </a:graphic>
          </wp:inline>
        </w:drawing>
      </w:r>
    </w:p>
    <w:p w:rsidR="00A23B60" w:rsidRPr="00A26F20" w:rsidRDefault="00A23B60" w:rsidP="00E650A9">
      <w:pPr>
        <w:pStyle w:val="Kpalrs"/>
        <w:rPr>
          <w:b w:val="0"/>
          <w:color w:val="auto"/>
          <w:sz w:val="22"/>
          <w:szCs w:val="22"/>
        </w:rPr>
      </w:pPr>
      <w:proofErr w:type="gramStart"/>
      <w:r w:rsidRPr="00A26F20">
        <w:rPr>
          <w:color w:val="auto"/>
          <w:sz w:val="22"/>
          <w:szCs w:val="22"/>
        </w:rPr>
        <w:t>Figure</w:t>
      </w:r>
      <w:r w:rsidR="00377173">
        <w:rPr>
          <w:color w:val="auto"/>
          <w:sz w:val="22"/>
          <w:szCs w:val="22"/>
        </w:rPr>
        <w:t> </w:t>
      </w:r>
      <w:r w:rsidRPr="00A26F20">
        <w:rPr>
          <w:color w:val="auto"/>
          <w:sz w:val="22"/>
          <w:szCs w:val="22"/>
        </w:rPr>
        <w:fldChar w:fldCharType="begin"/>
      </w:r>
      <w:r w:rsidRPr="00A26F20">
        <w:rPr>
          <w:color w:val="auto"/>
          <w:sz w:val="22"/>
          <w:szCs w:val="22"/>
        </w:rPr>
        <w:instrText xml:space="preserve"> SEQ Figure \* ARABIC </w:instrText>
      </w:r>
      <w:r w:rsidRPr="00A26F20">
        <w:rPr>
          <w:color w:val="auto"/>
          <w:sz w:val="22"/>
          <w:szCs w:val="22"/>
        </w:rPr>
        <w:fldChar w:fldCharType="separate"/>
      </w:r>
      <w:r w:rsidR="007862EC" w:rsidRPr="00A26F20">
        <w:rPr>
          <w:noProof/>
          <w:color w:val="auto"/>
          <w:sz w:val="22"/>
          <w:szCs w:val="22"/>
        </w:rPr>
        <w:t>3</w:t>
      </w:r>
      <w:r w:rsidRPr="00A26F20">
        <w:rPr>
          <w:color w:val="auto"/>
          <w:sz w:val="22"/>
          <w:szCs w:val="22"/>
        </w:rPr>
        <w:fldChar w:fldCharType="end"/>
      </w:r>
      <w:r w:rsidRPr="00A26F20">
        <w:rPr>
          <w:color w:val="auto"/>
          <w:sz w:val="22"/>
          <w:szCs w:val="22"/>
        </w:rPr>
        <w:t>.</w:t>
      </w:r>
      <w:proofErr w:type="gramEnd"/>
      <w:r w:rsidRPr="00A26F20">
        <w:rPr>
          <w:color w:val="auto"/>
          <w:sz w:val="22"/>
          <w:szCs w:val="22"/>
        </w:rPr>
        <w:t xml:space="preserve"> </w:t>
      </w:r>
      <w:r w:rsidRPr="00A26F20">
        <w:rPr>
          <w:b w:val="0"/>
          <w:color w:val="auto"/>
          <w:sz w:val="22"/>
          <w:szCs w:val="22"/>
        </w:rPr>
        <w:t>Alternative effective dose as the function of mean tissue dose computed from the mean tissue do</w:t>
      </w:r>
      <w:r w:rsidR="00377173">
        <w:rPr>
          <w:b w:val="0"/>
          <w:color w:val="auto"/>
          <w:sz w:val="22"/>
          <w:szCs w:val="22"/>
        </w:rPr>
        <w:t>se (panel a</w:t>
      </w:r>
      <w:r w:rsidRPr="00A26F20">
        <w:rPr>
          <w:b w:val="0"/>
          <w:color w:val="auto"/>
          <w:sz w:val="22"/>
          <w:szCs w:val="22"/>
        </w:rPr>
        <w:t>), considering the dose distribution in TUs supposi</w:t>
      </w:r>
      <w:r w:rsidR="00377173">
        <w:rPr>
          <w:b w:val="0"/>
          <w:color w:val="auto"/>
          <w:sz w:val="22"/>
          <w:szCs w:val="22"/>
        </w:rPr>
        <w:t>ng homogeneous exposure (panel b</w:t>
      </w:r>
      <w:r w:rsidRPr="00A26F20">
        <w:rPr>
          <w:b w:val="0"/>
          <w:color w:val="auto"/>
          <w:sz w:val="22"/>
          <w:szCs w:val="22"/>
        </w:rPr>
        <w:t>), and considering the dose distribution in TUs taking into account the real,</w:t>
      </w:r>
      <w:r w:rsidR="00377173">
        <w:rPr>
          <w:b w:val="0"/>
          <w:color w:val="auto"/>
          <w:sz w:val="22"/>
          <w:szCs w:val="22"/>
        </w:rPr>
        <w:t xml:space="preserve"> inhomogeneous exposure (panel c</w:t>
      </w:r>
      <w:r w:rsidRPr="00A26F20">
        <w:rPr>
          <w:b w:val="0"/>
          <w:color w:val="auto"/>
          <w:sz w:val="22"/>
          <w:szCs w:val="22"/>
        </w:rPr>
        <w:t xml:space="preserve">). </w:t>
      </w:r>
      <w:r w:rsidR="00377173">
        <w:rPr>
          <w:b w:val="0"/>
          <w:color w:val="auto"/>
          <w:sz w:val="22"/>
          <w:szCs w:val="22"/>
        </w:rPr>
        <w:t>In this</w:t>
      </w:r>
      <w:r w:rsidRPr="00A26F20">
        <w:rPr>
          <w:b w:val="0"/>
          <w:color w:val="auto"/>
          <w:sz w:val="22"/>
          <w:szCs w:val="22"/>
        </w:rPr>
        <w:t xml:space="preserve"> figure </w:t>
      </w:r>
      <w:r w:rsidR="00377173">
        <w:rPr>
          <w:b w:val="0"/>
          <w:color w:val="auto"/>
          <w:sz w:val="22"/>
          <w:szCs w:val="22"/>
        </w:rPr>
        <w:t>both the inhomogeneous α- and the</w:t>
      </w:r>
      <w:r w:rsidRPr="00A26F20">
        <w:rPr>
          <w:b w:val="0"/>
          <w:color w:val="auto"/>
          <w:sz w:val="22"/>
          <w:szCs w:val="22"/>
        </w:rPr>
        <w:t xml:space="preserve"> homogeneous β-radiation dose</w:t>
      </w:r>
      <w:r w:rsidR="00377173">
        <w:rPr>
          <w:b w:val="0"/>
          <w:color w:val="auto"/>
          <w:sz w:val="22"/>
          <w:szCs w:val="22"/>
        </w:rPr>
        <w:t xml:space="preserve"> is considered</w:t>
      </w:r>
      <w:r w:rsidRPr="00A26F20">
        <w:rPr>
          <w:b w:val="0"/>
          <w:color w:val="auto"/>
          <w:sz w:val="22"/>
          <w:szCs w:val="22"/>
        </w:rPr>
        <w:t>.</w:t>
      </w:r>
    </w:p>
    <w:p w:rsidR="00AE12FD" w:rsidRPr="00425CB1" w:rsidRDefault="00AE12FD" w:rsidP="00E650A9">
      <w:pPr>
        <w:pStyle w:val="Kpalrs"/>
        <w:jc w:val="center"/>
        <w:rPr>
          <w:color w:val="auto"/>
        </w:rPr>
      </w:pPr>
    </w:p>
    <w:p w:rsidR="000B473D" w:rsidRPr="00A26F20" w:rsidRDefault="008C5C0E" w:rsidP="00E650A9">
      <w:pPr>
        <w:pStyle w:val="Cmsor1"/>
        <w:spacing w:line="240" w:lineRule="auto"/>
        <w:rPr>
          <w:sz w:val="24"/>
          <w:szCs w:val="24"/>
        </w:rPr>
      </w:pPr>
      <w:r w:rsidRPr="00A26F20">
        <w:rPr>
          <w:sz w:val="24"/>
          <w:szCs w:val="24"/>
        </w:rPr>
        <w:t>Conclusions</w:t>
      </w:r>
    </w:p>
    <w:p w:rsidR="00031EE4" w:rsidRPr="00A26F20" w:rsidRDefault="008C5C0E" w:rsidP="00E650A9">
      <w:pPr>
        <w:spacing w:line="240" w:lineRule="auto"/>
        <w:rPr>
          <w:sz w:val="22"/>
          <w:szCs w:val="22"/>
        </w:rPr>
      </w:pPr>
      <w:r w:rsidRPr="00A26F20">
        <w:rPr>
          <w:sz w:val="22"/>
          <w:szCs w:val="22"/>
        </w:rPr>
        <w:t>The current system of radiation protection does not distinguish between the expositions distributed homogene</w:t>
      </w:r>
      <w:r w:rsidR="00377173">
        <w:rPr>
          <w:sz w:val="22"/>
          <w:szCs w:val="22"/>
        </w:rPr>
        <w:t xml:space="preserve">ously and </w:t>
      </w:r>
      <w:proofErr w:type="spellStart"/>
      <w:r w:rsidR="00377173">
        <w:rPr>
          <w:sz w:val="22"/>
          <w:szCs w:val="22"/>
        </w:rPr>
        <w:t>inhomogeneously</w:t>
      </w:r>
      <w:proofErr w:type="spellEnd"/>
      <w:r w:rsidR="00377173">
        <w:rPr>
          <w:sz w:val="22"/>
          <w:szCs w:val="22"/>
        </w:rPr>
        <w:t xml:space="preserve"> within</w:t>
      </w:r>
      <w:r w:rsidRPr="00A26F20">
        <w:rPr>
          <w:sz w:val="22"/>
          <w:szCs w:val="22"/>
        </w:rPr>
        <w:t xml:space="preserve"> the organs. With the example of radon progeny, it was shown that inhomogeneity cannot be and need not be</w:t>
      </w:r>
      <w:r w:rsidR="00B10516" w:rsidRPr="00A26F20">
        <w:rPr>
          <w:sz w:val="22"/>
          <w:szCs w:val="22"/>
        </w:rPr>
        <w:t xml:space="preserve"> considered if </w:t>
      </w:r>
      <w:r w:rsidR="0066382E" w:rsidRPr="00A26F20">
        <w:rPr>
          <w:sz w:val="22"/>
          <w:szCs w:val="22"/>
        </w:rPr>
        <w:t>the relationship between absorbed dose, equivalent dose, effective dose and nominal risk are linear.</w:t>
      </w:r>
      <w:r w:rsidR="004977AE" w:rsidRPr="00A26F20">
        <w:rPr>
          <w:sz w:val="22"/>
          <w:szCs w:val="22"/>
        </w:rPr>
        <w:t xml:space="preserve"> </w:t>
      </w:r>
      <w:r w:rsidR="0066382E" w:rsidRPr="00A26F20">
        <w:rPr>
          <w:sz w:val="22"/>
          <w:szCs w:val="22"/>
        </w:rPr>
        <w:t>Since microscopic investigations suggest that non-linear relationships may exist between absorbed dose and cell biological quantities potentially related to stochastic effects of radiation, the possible consequences of nonlinearity and inhomogeneous exposure were also studied. It was shown that inhomogeneous exposures result in lower significance of nonlinearity than homogeneous exposures.</w:t>
      </w:r>
      <w:r w:rsidR="004977AE" w:rsidRPr="00A26F20">
        <w:rPr>
          <w:sz w:val="22"/>
          <w:szCs w:val="22"/>
        </w:rPr>
        <w:t xml:space="preserve"> If besides the inhomogeneous a smaller homogeneous exposure is also considered, the significance of low dose nonlinearity seems to be even smaller. </w:t>
      </w:r>
      <w:r w:rsidR="007D37A2" w:rsidRPr="00A26F20">
        <w:rPr>
          <w:sz w:val="22"/>
          <w:szCs w:val="22"/>
        </w:rPr>
        <w:t xml:space="preserve">Based on the present study, it is suggested that </w:t>
      </w:r>
      <w:r w:rsidR="00296AE5" w:rsidRPr="00A26F20">
        <w:rPr>
          <w:sz w:val="22"/>
          <w:szCs w:val="22"/>
        </w:rPr>
        <w:t xml:space="preserve">nonlinearity in </w:t>
      </w:r>
      <w:r w:rsidR="007D37A2" w:rsidRPr="00A26F20">
        <w:rPr>
          <w:sz w:val="22"/>
          <w:szCs w:val="22"/>
        </w:rPr>
        <w:t xml:space="preserve">low dose effects may be less </w:t>
      </w:r>
      <w:bookmarkStart w:id="0" w:name="_GoBack"/>
      <w:bookmarkEnd w:id="0"/>
      <w:r w:rsidR="007D37A2" w:rsidRPr="00A26F20">
        <w:rPr>
          <w:sz w:val="22"/>
          <w:szCs w:val="22"/>
        </w:rPr>
        <w:t>significant in case of inhaled radon progeny than in case of radiation sources producing homogeneous exposures.</w:t>
      </w:r>
      <w:r w:rsidR="00377173">
        <w:rPr>
          <w:sz w:val="22"/>
          <w:szCs w:val="22"/>
        </w:rPr>
        <w:t xml:space="preserve"> However, in case of inhomogeneous exposures other </w:t>
      </w:r>
      <w:r w:rsidR="00377173" w:rsidRPr="00377173">
        <w:rPr>
          <w:sz w:val="22"/>
          <w:szCs w:val="22"/>
        </w:rPr>
        <w:t>biological me</w:t>
      </w:r>
      <w:r w:rsidR="00377173">
        <w:rPr>
          <w:sz w:val="22"/>
          <w:szCs w:val="22"/>
        </w:rPr>
        <w:t xml:space="preserve">chanisms may arise in the mostly exposed parts of the organs, which can </w:t>
      </w:r>
      <w:r w:rsidR="00377173" w:rsidRPr="00377173">
        <w:rPr>
          <w:sz w:val="22"/>
          <w:szCs w:val="22"/>
        </w:rPr>
        <w:t xml:space="preserve">significantly </w:t>
      </w:r>
      <w:r w:rsidR="00377173">
        <w:rPr>
          <w:sz w:val="22"/>
          <w:szCs w:val="22"/>
        </w:rPr>
        <w:t xml:space="preserve">influence </w:t>
      </w:r>
      <w:r w:rsidR="00377173" w:rsidRPr="00377173">
        <w:rPr>
          <w:sz w:val="22"/>
          <w:szCs w:val="22"/>
        </w:rPr>
        <w:t>the risk.</w:t>
      </w:r>
    </w:p>
    <w:p w:rsidR="000B473D" w:rsidRPr="00A26F20" w:rsidRDefault="000B473D" w:rsidP="00E650A9">
      <w:pPr>
        <w:pStyle w:val="Cmsor1"/>
        <w:spacing w:line="240" w:lineRule="auto"/>
        <w:rPr>
          <w:sz w:val="24"/>
          <w:szCs w:val="24"/>
        </w:rPr>
      </w:pPr>
      <w:r w:rsidRPr="00A26F20">
        <w:rPr>
          <w:sz w:val="24"/>
          <w:szCs w:val="24"/>
        </w:rPr>
        <w:t>Acknowledgments</w:t>
      </w:r>
    </w:p>
    <w:p w:rsidR="007E0424" w:rsidRPr="00A26F20" w:rsidRDefault="00980176" w:rsidP="00E650A9">
      <w:pPr>
        <w:spacing w:line="240" w:lineRule="auto"/>
        <w:rPr>
          <w:sz w:val="22"/>
          <w:szCs w:val="22"/>
        </w:rPr>
      </w:pPr>
      <w:r w:rsidRPr="00A26F20">
        <w:rPr>
          <w:sz w:val="22"/>
          <w:szCs w:val="22"/>
        </w:rPr>
        <w:t xml:space="preserve">The authors thank the Hungarian Radiation Protection Association of the Roland </w:t>
      </w:r>
      <w:proofErr w:type="spellStart"/>
      <w:r w:rsidRPr="00A26F20">
        <w:rPr>
          <w:sz w:val="22"/>
          <w:szCs w:val="22"/>
        </w:rPr>
        <w:t>Eötvös</w:t>
      </w:r>
      <w:proofErr w:type="spellEnd"/>
      <w:r w:rsidRPr="00A26F20">
        <w:rPr>
          <w:sz w:val="22"/>
          <w:szCs w:val="22"/>
        </w:rPr>
        <w:t xml:space="preserve"> Physical Society for supporting BGM’s participation in the </w:t>
      </w:r>
      <w:r w:rsidR="00A26D67" w:rsidRPr="00A26F20">
        <w:rPr>
          <w:sz w:val="22"/>
          <w:szCs w:val="22"/>
        </w:rPr>
        <w:t>13th International Congress of the</w:t>
      </w:r>
      <w:r w:rsidR="00A560BB">
        <w:rPr>
          <w:sz w:val="22"/>
          <w:szCs w:val="22"/>
        </w:rPr>
        <w:t xml:space="preserve"> </w:t>
      </w:r>
      <w:r w:rsidR="00A26D67" w:rsidRPr="00A26F20">
        <w:rPr>
          <w:sz w:val="22"/>
          <w:szCs w:val="22"/>
        </w:rPr>
        <w:t>International Radiation Protection Association</w:t>
      </w:r>
      <w:r w:rsidRPr="00A26F20">
        <w:rPr>
          <w:sz w:val="22"/>
          <w:szCs w:val="22"/>
        </w:rPr>
        <w:t>.</w:t>
      </w:r>
    </w:p>
    <w:p w:rsidR="000B473D" w:rsidRPr="00A26F20" w:rsidRDefault="000B473D" w:rsidP="00E650A9">
      <w:pPr>
        <w:pStyle w:val="Cmsor1"/>
        <w:spacing w:line="240" w:lineRule="auto"/>
        <w:rPr>
          <w:sz w:val="24"/>
          <w:szCs w:val="24"/>
        </w:rPr>
      </w:pPr>
      <w:r w:rsidRPr="00A26F20">
        <w:rPr>
          <w:sz w:val="24"/>
          <w:szCs w:val="24"/>
        </w:rPr>
        <w:t>References</w:t>
      </w:r>
    </w:p>
    <w:p w:rsidR="00A560BB" w:rsidRPr="00E650A9" w:rsidRDefault="00C36EEE" w:rsidP="00E650A9">
      <w:pPr>
        <w:spacing w:line="240" w:lineRule="auto"/>
        <w:ind w:left="720" w:hanging="720"/>
        <w:rPr>
          <w:noProof/>
          <w:sz w:val="22"/>
          <w:szCs w:val="22"/>
        </w:rPr>
      </w:pPr>
      <w:r w:rsidRPr="00E650A9">
        <w:rPr>
          <w:sz w:val="22"/>
          <w:szCs w:val="22"/>
        </w:rPr>
        <w:fldChar w:fldCharType="begin"/>
      </w:r>
      <w:r w:rsidRPr="00E650A9">
        <w:rPr>
          <w:sz w:val="22"/>
          <w:szCs w:val="22"/>
        </w:rPr>
        <w:instrText xml:space="preserve"> ADDIN EN.REFLIST </w:instrText>
      </w:r>
      <w:r w:rsidRPr="00E650A9">
        <w:rPr>
          <w:sz w:val="22"/>
          <w:szCs w:val="22"/>
        </w:rPr>
        <w:fldChar w:fldCharType="separate"/>
      </w:r>
      <w:bookmarkStart w:id="1" w:name="_ENREF_1"/>
      <w:r w:rsidR="00A560BB" w:rsidRPr="00E650A9">
        <w:rPr>
          <w:noProof/>
          <w:sz w:val="22"/>
          <w:szCs w:val="22"/>
        </w:rPr>
        <w:t xml:space="preserve">AL-JUNDI, J., LI, W. B., ABUSINI, M., TSCHIERSCH, J., HOESCHEN, C. &amp; OEH, U. 2011. Inhalation dose assessment of indoor radon progeny using biokinetic and dosimetric modeling and its application to Jordanian population. </w:t>
      </w:r>
      <w:r w:rsidR="00A560BB" w:rsidRPr="00E650A9">
        <w:rPr>
          <w:i/>
          <w:noProof/>
          <w:sz w:val="22"/>
          <w:szCs w:val="22"/>
        </w:rPr>
        <w:t>Journal of Environmental Radioactivity,</w:t>
      </w:r>
      <w:r w:rsidR="00A560BB" w:rsidRPr="00E650A9">
        <w:rPr>
          <w:noProof/>
          <w:sz w:val="22"/>
          <w:szCs w:val="22"/>
        </w:rPr>
        <w:t xml:space="preserve"> 102</w:t>
      </w:r>
      <w:r w:rsidR="00A560BB" w:rsidRPr="00E650A9">
        <w:rPr>
          <w:b/>
          <w:noProof/>
          <w:sz w:val="22"/>
          <w:szCs w:val="22"/>
        </w:rPr>
        <w:t>,</w:t>
      </w:r>
      <w:r w:rsidR="00A560BB" w:rsidRPr="00E650A9">
        <w:rPr>
          <w:noProof/>
          <w:sz w:val="22"/>
          <w:szCs w:val="22"/>
        </w:rPr>
        <w:t xml:space="preserve"> 574-580.</w:t>
      </w:r>
      <w:bookmarkEnd w:id="1"/>
    </w:p>
    <w:p w:rsidR="00A560BB" w:rsidRPr="00E650A9" w:rsidRDefault="00A560BB" w:rsidP="00E650A9">
      <w:pPr>
        <w:spacing w:line="240" w:lineRule="auto"/>
        <w:ind w:left="720" w:hanging="720"/>
        <w:rPr>
          <w:noProof/>
          <w:sz w:val="22"/>
          <w:szCs w:val="22"/>
        </w:rPr>
      </w:pPr>
      <w:bookmarkStart w:id="2" w:name="_ENREF_2"/>
      <w:r w:rsidRPr="00E650A9">
        <w:rPr>
          <w:noProof/>
          <w:sz w:val="22"/>
          <w:szCs w:val="22"/>
        </w:rPr>
        <w:t xml:space="preserve">BALÁSHÁZY, I., FARKAS, Á., MADAS, B. G. &amp; HOFMANN, W. 2009. Non-linear relationship of cell hit and transformation probabilities in a low dose of inhaled radon progenies. </w:t>
      </w:r>
      <w:r w:rsidRPr="00E650A9">
        <w:rPr>
          <w:i/>
          <w:noProof/>
          <w:sz w:val="22"/>
          <w:szCs w:val="22"/>
        </w:rPr>
        <w:t>Journal of Radiological Protection,</w:t>
      </w:r>
      <w:r w:rsidRPr="00E650A9">
        <w:rPr>
          <w:noProof/>
          <w:sz w:val="22"/>
          <w:szCs w:val="22"/>
        </w:rPr>
        <w:t xml:space="preserve"> 29</w:t>
      </w:r>
      <w:r w:rsidRPr="00E650A9">
        <w:rPr>
          <w:b/>
          <w:noProof/>
          <w:sz w:val="22"/>
          <w:szCs w:val="22"/>
        </w:rPr>
        <w:t>,</w:t>
      </w:r>
      <w:r w:rsidRPr="00E650A9">
        <w:rPr>
          <w:noProof/>
          <w:sz w:val="22"/>
          <w:szCs w:val="22"/>
        </w:rPr>
        <w:t xml:space="preserve"> 147-162.</w:t>
      </w:r>
      <w:bookmarkEnd w:id="2"/>
    </w:p>
    <w:p w:rsidR="00A560BB" w:rsidRPr="00E650A9" w:rsidRDefault="00A560BB" w:rsidP="00E650A9">
      <w:pPr>
        <w:spacing w:line="240" w:lineRule="auto"/>
        <w:ind w:left="720" w:hanging="720"/>
        <w:rPr>
          <w:noProof/>
          <w:sz w:val="22"/>
          <w:szCs w:val="22"/>
        </w:rPr>
      </w:pPr>
      <w:bookmarkStart w:id="3" w:name="_ENREF_3"/>
      <w:r w:rsidRPr="00E650A9">
        <w:rPr>
          <w:noProof/>
          <w:sz w:val="22"/>
          <w:szCs w:val="22"/>
        </w:rPr>
        <w:t xml:space="preserve">BLYTH, B. J. &amp; SYKES, P. J. 2011. Radiation-Induced Bystander Effects: What Are They, and How Relevant Are They to Human Radiation Exposures? </w:t>
      </w:r>
      <w:r w:rsidRPr="00E650A9">
        <w:rPr>
          <w:i/>
          <w:noProof/>
          <w:sz w:val="22"/>
          <w:szCs w:val="22"/>
        </w:rPr>
        <w:t>Radiation Research,</w:t>
      </w:r>
      <w:r w:rsidRPr="00E650A9">
        <w:rPr>
          <w:noProof/>
          <w:sz w:val="22"/>
          <w:szCs w:val="22"/>
        </w:rPr>
        <w:t xml:space="preserve"> 176</w:t>
      </w:r>
      <w:r w:rsidRPr="00E650A9">
        <w:rPr>
          <w:b/>
          <w:noProof/>
          <w:sz w:val="22"/>
          <w:szCs w:val="22"/>
        </w:rPr>
        <w:t>,</w:t>
      </w:r>
      <w:r w:rsidRPr="00E650A9">
        <w:rPr>
          <w:noProof/>
          <w:sz w:val="22"/>
          <w:szCs w:val="22"/>
        </w:rPr>
        <w:t xml:space="preserve"> 139-157.</w:t>
      </w:r>
      <w:bookmarkEnd w:id="3"/>
    </w:p>
    <w:p w:rsidR="00A560BB" w:rsidRPr="00E650A9" w:rsidRDefault="00A560BB" w:rsidP="00E650A9">
      <w:pPr>
        <w:spacing w:line="240" w:lineRule="auto"/>
        <w:ind w:left="720" w:hanging="720"/>
        <w:rPr>
          <w:noProof/>
          <w:sz w:val="22"/>
          <w:szCs w:val="22"/>
        </w:rPr>
      </w:pPr>
      <w:bookmarkStart w:id="4" w:name="_ENREF_4"/>
      <w:r w:rsidRPr="00E650A9">
        <w:rPr>
          <w:noProof/>
          <w:sz w:val="22"/>
          <w:szCs w:val="22"/>
        </w:rPr>
        <w:t xml:space="preserve">FARKAS, Á., HOFMANN, W., BALÁSHÁZY, I., SZŐKE, I., MADAS, B. G. &amp; MOUSTAFA, M. 2011. Effect of site-specific bronchial radon progeny deposition on the spatial and temporal distributions of cellular responses. </w:t>
      </w:r>
      <w:r w:rsidRPr="00E650A9">
        <w:rPr>
          <w:i/>
          <w:noProof/>
          <w:sz w:val="22"/>
          <w:szCs w:val="22"/>
        </w:rPr>
        <w:t>Radiation and Environmental Biophysics,</w:t>
      </w:r>
      <w:r w:rsidRPr="00E650A9">
        <w:rPr>
          <w:noProof/>
          <w:sz w:val="22"/>
          <w:szCs w:val="22"/>
        </w:rPr>
        <w:t xml:space="preserve"> 50</w:t>
      </w:r>
      <w:r w:rsidRPr="00E650A9">
        <w:rPr>
          <w:b/>
          <w:noProof/>
          <w:sz w:val="22"/>
          <w:szCs w:val="22"/>
        </w:rPr>
        <w:t>,</w:t>
      </w:r>
      <w:r w:rsidRPr="00E650A9">
        <w:rPr>
          <w:noProof/>
          <w:sz w:val="22"/>
          <w:szCs w:val="22"/>
        </w:rPr>
        <w:t xml:space="preserve"> 281-297.</w:t>
      </w:r>
      <w:bookmarkEnd w:id="4"/>
    </w:p>
    <w:p w:rsidR="00A560BB" w:rsidRPr="00E650A9" w:rsidRDefault="00A560BB" w:rsidP="00E650A9">
      <w:pPr>
        <w:spacing w:line="240" w:lineRule="auto"/>
        <w:ind w:left="720" w:hanging="720"/>
        <w:rPr>
          <w:noProof/>
          <w:sz w:val="22"/>
          <w:szCs w:val="22"/>
        </w:rPr>
      </w:pPr>
      <w:bookmarkStart w:id="5" w:name="_ENREF_5"/>
      <w:r w:rsidRPr="00E650A9">
        <w:rPr>
          <w:noProof/>
          <w:sz w:val="22"/>
          <w:szCs w:val="22"/>
        </w:rPr>
        <w:t xml:space="preserve">GAILLARD, S., PUSSET, D., DE TOLEDO, S. M., FROMM, M. &amp; AZZAM, E. I. 2009. Propagation Distance of the alpha-Particle-Induced Bystander Effect: The Role of Nuclear Traversal and Gap Junction Communication. </w:t>
      </w:r>
      <w:r w:rsidRPr="00E650A9">
        <w:rPr>
          <w:i/>
          <w:noProof/>
          <w:sz w:val="22"/>
          <w:szCs w:val="22"/>
        </w:rPr>
        <w:t>Radiation Research,</w:t>
      </w:r>
      <w:r w:rsidRPr="00E650A9">
        <w:rPr>
          <w:noProof/>
          <w:sz w:val="22"/>
          <w:szCs w:val="22"/>
        </w:rPr>
        <w:t xml:space="preserve"> 171</w:t>
      </w:r>
      <w:r w:rsidRPr="00E650A9">
        <w:rPr>
          <w:b/>
          <w:noProof/>
          <w:sz w:val="22"/>
          <w:szCs w:val="22"/>
        </w:rPr>
        <w:t>,</w:t>
      </w:r>
      <w:r w:rsidRPr="00E650A9">
        <w:rPr>
          <w:noProof/>
          <w:sz w:val="22"/>
          <w:szCs w:val="22"/>
        </w:rPr>
        <w:t xml:space="preserve"> 513-520.</w:t>
      </w:r>
      <w:bookmarkEnd w:id="5"/>
    </w:p>
    <w:p w:rsidR="00A560BB" w:rsidRPr="00E650A9" w:rsidRDefault="00A560BB" w:rsidP="00E650A9">
      <w:pPr>
        <w:spacing w:line="240" w:lineRule="auto"/>
        <w:ind w:left="720" w:hanging="720"/>
        <w:rPr>
          <w:noProof/>
          <w:sz w:val="22"/>
          <w:szCs w:val="22"/>
        </w:rPr>
      </w:pPr>
      <w:bookmarkStart w:id="6" w:name="_ENREF_6"/>
      <w:r w:rsidRPr="00E650A9">
        <w:rPr>
          <w:noProof/>
          <w:sz w:val="22"/>
          <w:szCs w:val="22"/>
        </w:rPr>
        <w:t xml:space="preserve">LEONARD, B. E. 2009. The Range of the Bystander Effect Signal in Three-Dimensional Tissue and Estimation of the Range in Human Lung Tissue at Low Radon Levels. </w:t>
      </w:r>
      <w:r w:rsidRPr="00E650A9">
        <w:rPr>
          <w:i/>
          <w:noProof/>
          <w:sz w:val="22"/>
          <w:szCs w:val="22"/>
        </w:rPr>
        <w:t>Radiation Research,</w:t>
      </w:r>
      <w:r w:rsidRPr="00E650A9">
        <w:rPr>
          <w:noProof/>
          <w:sz w:val="22"/>
          <w:szCs w:val="22"/>
        </w:rPr>
        <w:t xml:space="preserve"> 171</w:t>
      </w:r>
      <w:r w:rsidRPr="00E650A9">
        <w:rPr>
          <w:b/>
          <w:noProof/>
          <w:sz w:val="22"/>
          <w:szCs w:val="22"/>
        </w:rPr>
        <w:t>,</w:t>
      </w:r>
      <w:r w:rsidRPr="00E650A9">
        <w:rPr>
          <w:noProof/>
          <w:sz w:val="22"/>
          <w:szCs w:val="22"/>
        </w:rPr>
        <w:t xml:space="preserve"> 374-378.</w:t>
      </w:r>
      <w:bookmarkEnd w:id="6"/>
    </w:p>
    <w:p w:rsidR="00A560BB" w:rsidRPr="00E650A9" w:rsidRDefault="00A560BB" w:rsidP="00E650A9">
      <w:pPr>
        <w:spacing w:line="240" w:lineRule="auto"/>
        <w:ind w:left="720" w:hanging="720"/>
        <w:rPr>
          <w:noProof/>
          <w:sz w:val="22"/>
          <w:szCs w:val="22"/>
        </w:rPr>
      </w:pPr>
      <w:bookmarkStart w:id="7" w:name="_ENREF_7"/>
      <w:r w:rsidRPr="00E650A9">
        <w:rPr>
          <w:noProof/>
          <w:sz w:val="22"/>
          <w:szCs w:val="22"/>
        </w:rPr>
        <w:t xml:space="preserve">MADAS, B. G. &amp; BALÁSHÁZY, I. 2011. Mutation induction by inhaled radon progeny modeled at the tissue level. </w:t>
      </w:r>
      <w:r w:rsidRPr="00E650A9">
        <w:rPr>
          <w:i/>
          <w:noProof/>
          <w:sz w:val="22"/>
          <w:szCs w:val="22"/>
        </w:rPr>
        <w:t>Radiation and Environmental Biophysics,</w:t>
      </w:r>
      <w:r w:rsidRPr="00E650A9">
        <w:rPr>
          <w:noProof/>
          <w:sz w:val="22"/>
          <w:szCs w:val="22"/>
        </w:rPr>
        <w:t xml:space="preserve"> 50</w:t>
      </w:r>
      <w:r w:rsidRPr="00E650A9">
        <w:rPr>
          <w:b/>
          <w:noProof/>
          <w:sz w:val="22"/>
          <w:szCs w:val="22"/>
        </w:rPr>
        <w:t>,</w:t>
      </w:r>
      <w:r w:rsidRPr="00E650A9">
        <w:rPr>
          <w:noProof/>
          <w:sz w:val="22"/>
          <w:szCs w:val="22"/>
        </w:rPr>
        <w:t xml:space="preserve"> 553-570.</w:t>
      </w:r>
      <w:bookmarkEnd w:id="7"/>
    </w:p>
    <w:p w:rsidR="00A560BB" w:rsidRPr="00E650A9" w:rsidRDefault="00A560BB" w:rsidP="00E650A9">
      <w:pPr>
        <w:spacing w:line="240" w:lineRule="auto"/>
        <w:ind w:left="720" w:hanging="720"/>
        <w:rPr>
          <w:noProof/>
          <w:sz w:val="22"/>
          <w:szCs w:val="22"/>
        </w:rPr>
      </w:pPr>
      <w:bookmarkStart w:id="8" w:name="_ENREF_8"/>
      <w:r w:rsidRPr="00E650A9">
        <w:rPr>
          <w:noProof/>
          <w:sz w:val="22"/>
          <w:szCs w:val="22"/>
        </w:rPr>
        <w:t xml:space="preserve">MADAS, B. G., BALÁSHÁZY, I., FARKAS, Á. &amp; SZŐKE, I. 2011. Cellular burdens and biological effects on tissue level caused by inhaled radon progenies. </w:t>
      </w:r>
      <w:r w:rsidRPr="00E650A9">
        <w:rPr>
          <w:i/>
          <w:noProof/>
          <w:sz w:val="22"/>
          <w:szCs w:val="22"/>
        </w:rPr>
        <w:t>Radiation Protection Dosimetry,</w:t>
      </w:r>
      <w:r w:rsidRPr="00E650A9">
        <w:rPr>
          <w:noProof/>
          <w:sz w:val="22"/>
          <w:szCs w:val="22"/>
        </w:rPr>
        <w:t xml:space="preserve"> 143</w:t>
      </w:r>
      <w:r w:rsidRPr="00E650A9">
        <w:rPr>
          <w:b/>
          <w:noProof/>
          <w:sz w:val="22"/>
          <w:szCs w:val="22"/>
        </w:rPr>
        <w:t>,</w:t>
      </w:r>
      <w:r w:rsidRPr="00E650A9">
        <w:rPr>
          <w:noProof/>
          <w:sz w:val="22"/>
          <w:szCs w:val="22"/>
        </w:rPr>
        <w:t xml:space="preserve"> 253-257.</w:t>
      </w:r>
      <w:bookmarkEnd w:id="8"/>
    </w:p>
    <w:p w:rsidR="00A560BB" w:rsidRPr="00E650A9" w:rsidRDefault="00A560BB" w:rsidP="00E650A9">
      <w:pPr>
        <w:spacing w:line="240" w:lineRule="auto"/>
        <w:ind w:left="720" w:hanging="720"/>
        <w:rPr>
          <w:noProof/>
          <w:sz w:val="22"/>
          <w:szCs w:val="22"/>
        </w:rPr>
      </w:pPr>
      <w:bookmarkStart w:id="9" w:name="_ENREF_9"/>
      <w:r w:rsidRPr="00E650A9">
        <w:rPr>
          <w:noProof/>
          <w:sz w:val="22"/>
          <w:szCs w:val="22"/>
        </w:rPr>
        <w:t xml:space="preserve">MARKOVIC, V. M., STEVANOVIC, N. &amp; NIKEZIC, D. 2011. Doses from beta radiation in sensitive layers of human lung and dose conversion factors due to (222)Rn/(220)Rn progeny. </w:t>
      </w:r>
      <w:r w:rsidRPr="00E650A9">
        <w:rPr>
          <w:i/>
          <w:noProof/>
          <w:sz w:val="22"/>
          <w:szCs w:val="22"/>
        </w:rPr>
        <w:t>Radiation and Environmental Biophysics,</w:t>
      </w:r>
      <w:r w:rsidRPr="00E650A9">
        <w:rPr>
          <w:noProof/>
          <w:sz w:val="22"/>
          <w:szCs w:val="22"/>
        </w:rPr>
        <w:t xml:space="preserve"> 50</w:t>
      </w:r>
      <w:r w:rsidRPr="00E650A9">
        <w:rPr>
          <w:b/>
          <w:noProof/>
          <w:sz w:val="22"/>
          <w:szCs w:val="22"/>
        </w:rPr>
        <w:t>,</w:t>
      </w:r>
      <w:r w:rsidRPr="00E650A9">
        <w:rPr>
          <w:noProof/>
          <w:sz w:val="22"/>
          <w:szCs w:val="22"/>
        </w:rPr>
        <w:t xml:space="preserve"> 431-440.</w:t>
      </w:r>
      <w:bookmarkEnd w:id="9"/>
    </w:p>
    <w:p w:rsidR="00A560BB" w:rsidRPr="00E650A9" w:rsidRDefault="00A560BB" w:rsidP="00E650A9">
      <w:pPr>
        <w:spacing w:line="240" w:lineRule="auto"/>
        <w:ind w:left="720" w:hanging="720"/>
        <w:rPr>
          <w:noProof/>
          <w:sz w:val="22"/>
          <w:szCs w:val="22"/>
        </w:rPr>
      </w:pPr>
      <w:bookmarkStart w:id="10" w:name="_ENREF_10"/>
      <w:r w:rsidRPr="00E650A9">
        <w:rPr>
          <w:noProof/>
          <w:sz w:val="22"/>
          <w:szCs w:val="22"/>
        </w:rPr>
        <w:t xml:space="preserve">MERCER, R. R., RUSSELL, M. L. &amp; CRAPO, J. D. 1991. Radon dosimetry based on the depth distribution of nuclei in human and rat lungs. </w:t>
      </w:r>
      <w:r w:rsidRPr="00E650A9">
        <w:rPr>
          <w:i/>
          <w:noProof/>
          <w:sz w:val="22"/>
          <w:szCs w:val="22"/>
        </w:rPr>
        <w:t>Health Physics,</w:t>
      </w:r>
      <w:r w:rsidRPr="00E650A9">
        <w:rPr>
          <w:noProof/>
          <w:sz w:val="22"/>
          <w:szCs w:val="22"/>
        </w:rPr>
        <w:t xml:space="preserve"> 61</w:t>
      </w:r>
      <w:r w:rsidRPr="00E650A9">
        <w:rPr>
          <w:b/>
          <w:noProof/>
          <w:sz w:val="22"/>
          <w:szCs w:val="22"/>
        </w:rPr>
        <w:t>,</w:t>
      </w:r>
      <w:r w:rsidRPr="00E650A9">
        <w:rPr>
          <w:noProof/>
          <w:sz w:val="22"/>
          <w:szCs w:val="22"/>
        </w:rPr>
        <w:t xml:space="preserve"> 117-130.</w:t>
      </w:r>
      <w:bookmarkEnd w:id="10"/>
    </w:p>
    <w:p w:rsidR="00A560BB" w:rsidRPr="00E650A9" w:rsidRDefault="00A560BB" w:rsidP="00E650A9">
      <w:pPr>
        <w:spacing w:line="240" w:lineRule="auto"/>
        <w:ind w:left="720" w:hanging="720"/>
        <w:rPr>
          <w:noProof/>
          <w:sz w:val="22"/>
          <w:szCs w:val="22"/>
        </w:rPr>
      </w:pPr>
      <w:bookmarkStart w:id="11" w:name="_ENREF_11"/>
      <w:r w:rsidRPr="00E650A9">
        <w:rPr>
          <w:noProof/>
          <w:sz w:val="22"/>
          <w:szCs w:val="22"/>
        </w:rPr>
        <w:t xml:space="preserve">MORGAN, W. F., DAY, J. P., KAPLAN, M. I., MCGHEE, E. M. &amp; LIMOLI, C. L. 1996. Genomic instability induced by ionizing radiation. </w:t>
      </w:r>
      <w:r w:rsidRPr="00E650A9">
        <w:rPr>
          <w:i/>
          <w:noProof/>
          <w:sz w:val="22"/>
          <w:szCs w:val="22"/>
        </w:rPr>
        <w:t>Radiation Research,</w:t>
      </w:r>
      <w:r w:rsidRPr="00E650A9">
        <w:rPr>
          <w:noProof/>
          <w:sz w:val="22"/>
          <w:szCs w:val="22"/>
        </w:rPr>
        <w:t xml:space="preserve"> 146</w:t>
      </w:r>
      <w:r w:rsidRPr="00E650A9">
        <w:rPr>
          <w:b/>
          <w:noProof/>
          <w:sz w:val="22"/>
          <w:szCs w:val="22"/>
        </w:rPr>
        <w:t>,</w:t>
      </w:r>
      <w:r w:rsidRPr="00E650A9">
        <w:rPr>
          <w:noProof/>
          <w:sz w:val="22"/>
          <w:szCs w:val="22"/>
        </w:rPr>
        <w:t xml:space="preserve"> 247-258.</w:t>
      </w:r>
      <w:bookmarkEnd w:id="11"/>
    </w:p>
    <w:p w:rsidR="00A560BB" w:rsidRPr="00E650A9" w:rsidRDefault="00A560BB" w:rsidP="00E650A9">
      <w:pPr>
        <w:spacing w:line="240" w:lineRule="auto"/>
        <w:ind w:left="720" w:hanging="720"/>
        <w:rPr>
          <w:noProof/>
          <w:sz w:val="22"/>
          <w:szCs w:val="22"/>
        </w:rPr>
      </w:pPr>
      <w:bookmarkStart w:id="12" w:name="_ENREF_12"/>
      <w:r w:rsidRPr="00E650A9">
        <w:rPr>
          <w:noProof/>
          <w:sz w:val="22"/>
          <w:szCs w:val="22"/>
        </w:rPr>
        <w:t xml:space="preserve">NIKEZIC, D., LAU, B. M. F., STEVANOVIC, N. &amp; YU, K. N. 2006. Absorbed dose in target cell nuclei and dose conversion coefficient of radon progeny in the human lung. </w:t>
      </w:r>
      <w:r w:rsidRPr="00E650A9">
        <w:rPr>
          <w:i/>
          <w:noProof/>
          <w:sz w:val="22"/>
          <w:szCs w:val="22"/>
        </w:rPr>
        <w:t>Journal of Environmental Radioactivity,</w:t>
      </w:r>
      <w:r w:rsidRPr="00E650A9">
        <w:rPr>
          <w:noProof/>
          <w:sz w:val="22"/>
          <w:szCs w:val="22"/>
        </w:rPr>
        <w:t xml:space="preserve"> 89</w:t>
      </w:r>
      <w:r w:rsidRPr="00E650A9">
        <w:rPr>
          <w:b/>
          <w:noProof/>
          <w:sz w:val="22"/>
          <w:szCs w:val="22"/>
        </w:rPr>
        <w:t>,</w:t>
      </w:r>
      <w:r w:rsidRPr="00E650A9">
        <w:rPr>
          <w:noProof/>
          <w:sz w:val="22"/>
          <w:szCs w:val="22"/>
        </w:rPr>
        <w:t xml:space="preserve"> 18-29.</w:t>
      </w:r>
      <w:bookmarkEnd w:id="12"/>
    </w:p>
    <w:p w:rsidR="00A560BB" w:rsidRPr="00E650A9" w:rsidRDefault="00A560BB" w:rsidP="00E650A9">
      <w:pPr>
        <w:spacing w:line="240" w:lineRule="auto"/>
        <w:ind w:left="720" w:hanging="720"/>
        <w:rPr>
          <w:noProof/>
          <w:sz w:val="22"/>
          <w:szCs w:val="22"/>
        </w:rPr>
      </w:pPr>
      <w:bookmarkStart w:id="13" w:name="_ENREF_13"/>
      <w:r w:rsidRPr="00E650A9">
        <w:rPr>
          <w:noProof/>
          <w:sz w:val="22"/>
          <w:szCs w:val="22"/>
        </w:rPr>
        <w:t xml:space="preserve">SZŐKE, I., FARKAS, Á., BALÁSHÁZY, I. &amp; HOFMANN, W. 2009. Stochastic aspects of primary cellular consequences of radon inhalation. </w:t>
      </w:r>
      <w:r w:rsidRPr="00E650A9">
        <w:rPr>
          <w:i/>
          <w:noProof/>
          <w:sz w:val="22"/>
          <w:szCs w:val="22"/>
        </w:rPr>
        <w:t>Radiation Research,</w:t>
      </w:r>
      <w:r w:rsidRPr="00E650A9">
        <w:rPr>
          <w:noProof/>
          <w:sz w:val="22"/>
          <w:szCs w:val="22"/>
        </w:rPr>
        <w:t xml:space="preserve"> 171</w:t>
      </w:r>
      <w:r w:rsidRPr="00E650A9">
        <w:rPr>
          <w:b/>
          <w:noProof/>
          <w:sz w:val="22"/>
          <w:szCs w:val="22"/>
        </w:rPr>
        <w:t>,</w:t>
      </w:r>
      <w:r w:rsidRPr="00E650A9">
        <w:rPr>
          <w:noProof/>
          <w:sz w:val="22"/>
          <w:szCs w:val="22"/>
        </w:rPr>
        <w:t xml:space="preserve"> 96-106.</w:t>
      </w:r>
      <w:bookmarkEnd w:id="13"/>
    </w:p>
    <w:p w:rsidR="00A560BB" w:rsidRPr="00E650A9" w:rsidRDefault="00A560BB" w:rsidP="00E650A9">
      <w:pPr>
        <w:spacing w:line="240" w:lineRule="auto"/>
        <w:ind w:left="720" w:hanging="720"/>
        <w:rPr>
          <w:noProof/>
          <w:sz w:val="22"/>
          <w:szCs w:val="22"/>
        </w:rPr>
      </w:pPr>
      <w:bookmarkStart w:id="14" w:name="_ENREF_14"/>
      <w:r w:rsidRPr="00E650A9">
        <w:rPr>
          <w:noProof/>
          <w:sz w:val="22"/>
          <w:szCs w:val="22"/>
        </w:rPr>
        <w:t xml:space="preserve">TAPIO, S. &amp; JACOB, V. 2007. Radioadaptive response revisited. </w:t>
      </w:r>
      <w:r w:rsidRPr="00E650A9">
        <w:rPr>
          <w:i/>
          <w:noProof/>
          <w:sz w:val="22"/>
          <w:szCs w:val="22"/>
        </w:rPr>
        <w:t>Radiation and Environmental Biophysics,</w:t>
      </w:r>
      <w:r w:rsidRPr="00E650A9">
        <w:rPr>
          <w:noProof/>
          <w:sz w:val="22"/>
          <w:szCs w:val="22"/>
        </w:rPr>
        <w:t xml:space="preserve"> 46</w:t>
      </w:r>
      <w:r w:rsidRPr="00E650A9">
        <w:rPr>
          <w:b/>
          <w:noProof/>
          <w:sz w:val="22"/>
          <w:szCs w:val="22"/>
        </w:rPr>
        <w:t>,</w:t>
      </w:r>
      <w:r w:rsidRPr="00E650A9">
        <w:rPr>
          <w:noProof/>
          <w:sz w:val="22"/>
          <w:szCs w:val="22"/>
        </w:rPr>
        <w:t xml:space="preserve"> 1-12.</w:t>
      </w:r>
      <w:bookmarkEnd w:id="14"/>
    </w:p>
    <w:p w:rsidR="00A560BB" w:rsidRPr="00E650A9" w:rsidRDefault="00A560BB" w:rsidP="00E650A9">
      <w:pPr>
        <w:spacing w:line="240" w:lineRule="auto"/>
        <w:rPr>
          <w:noProof/>
          <w:sz w:val="22"/>
          <w:szCs w:val="22"/>
        </w:rPr>
      </w:pPr>
    </w:p>
    <w:p w:rsidR="000B473D" w:rsidRPr="00E650A9" w:rsidRDefault="00C36EEE" w:rsidP="00E650A9">
      <w:pPr>
        <w:spacing w:line="240" w:lineRule="auto"/>
        <w:rPr>
          <w:sz w:val="22"/>
          <w:szCs w:val="22"/>
        </w:rPr>
      </w:pPr>
      <w:r w:rsidRPr="00E650A9">
        <w:rPr>
          <w:sz w:val="22"/>
          <w:szCs w:val="22"/>
        </w:rPr>
        <w:fldChar w:fldCharType="end"/>
      </w:r>
    </w:p>
    <w:sectPr w:rsidR="000B473D" w:rsidRPr="00E650A9" w:rsidSect="00091DA0">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50C" w:rsidRDefault="0026350C" w:rsidP="00091DA0">
      <w:pPr>
        <w:spacing w:line="240" w:lineRule="auto"/>
      </w:pPr>
      <w:r>
        <w:separator/>
      </w:r>
    </w:p>
  </w:endnote>
  <w:endnote w:type="continuationSeparator" w:id="0">
    <w:p w:rsidR="0026350C" w:rsidRDefault="0026350C" w:rsidP="00091D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50C" w:rsidRDefault="0026350C">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50C" w:rsidRDefault="0026350C" w:rsidP="00091DA0">
      <w:pPr>
        <w:spacing w:line="240" w:lineRule="auto"/>
      </w:pPr>
      <w:r>
        <w:separator/>
      </w:r>
    </w:p>
  </w:footnote>
  <w:footnote w:type="continuationSeparator" w:id="0">
    <w:p w:rsidR="0026350C" w:rsidRDefault="0026350C" w:rsidP="00091DA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81E0C"/>
    <w:multiLevelType w:val="hybridMultilevel"/>
    <w:tmpl w:val="CCE03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45D4689"/>
    <w:multiLevelType w:val="hybridMultilevel"/>
    <w:tmpl w:val="7A08009C"/>
    <w:lvl w:ilvl="0" w:tplc="B82E3B62">
      <w:start w:val="1"/>
      <w:numFmt w:val="upperRoman"/>
      <w:pStyle w:val="Cmsor1"/>
      <w:lvlText w:val="%1."/>
      <w:lvlJc w:val="right"/>
      <w:pPr>
        <w:tabs>
          <w:tab w:val="num" w:pos="720"/>
        </w:tabs>
        <w:ind w:left="720" w:hanging="18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ENInstantFormat&gt;"/>
    <w:docVar w:name="EN.Layout" w:val="&lt;ENLayout&gt;&lt;Style&gt;Harvar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0B473D"/>
    <w:rsid w:val="00031EE4"/>
    <w:rsid w:val="00091DA0"/>
    <w:rsid w:val="00095AA0"/>
    <w:rsid w:val="000B473D"/>
    <w:rsid w:val="000C21B6"/>
    <w:rsid w:val="00100BD7"/>
    <w:rsid w:val="00100D40"/>
    <w:rsid w:val="0012782C"/>
    <w:rsid w:val="0014618C"/>
    <w:rsid w:val="001A1963"/>
    <w:rsid w:val="001C4674"/>
    <w:rsid w:val="001F3E10"/>
    <w:rsid w:val="0020629C"/>
    <w:rsid w:val="0026350C"/>
    <w:rsid w:val="0027187D"/>
    <w:rsid w:val="00296AE5"/>
    <w:rsid w:val="002C15D9"/>
    <w:rsid w:val="002D75CA"/>
    <w:rsid w:val="003404ED"/>
    <w:rsid w:val="0035104C"/>
    <w:rsid w:val="00354BAF"/>
    <w:rsid w:val="00377173"/>
    <w:rsid w:val="003B77BC"/>
    <w:rsid w:val="00425CB1"/>
    <w:rsid w:val="004546AE"/>
    <w:rsid w:val="004560DD"/>
    <w:rsid w:val="00464658"/>
    <w:rsid w:val="00495CCF"/>
    <w:rsid w:val="004977AE"/>
    <w:rsid w:val="004D6252"/>
    <w:rsid w:val="004F41EA"/>
    <w:rsid w:val="0050407E"/>
    <w:rsid w:val="0051067F"/>
    <w:rsid w:val="00557696"/>
    <w:rsid w:val="00566EE0"/>
    <w:rsid w:val="00574D50"/>
    <w:rsid w:val="005837E3"/>
    <w:rsid w:val="005D156D"/>
    <w:rsid w:val="005F08EE"/>
    <w:rsid w:val="006143AC"/>
    <w:rsid w:val="006368D2"/>
    <w:rsid w:val="0066382E"/>
    <w:rsid w:val="00684039"/>
    <w:rsid w:val="006B5343"/>
    <w:rsid w:val="006D31F2"/>
    <w:rsid w:val="006D7ACE"/>
    <w:rsid w:val="00723DDA"/>
    <w:rsid w:val="00767F1D"/>
    <w:rsid w:val="00770DA4"/>
    <w:rsid w:val="0077495D"/>
    <w:rsid w:val="007862EC"/>
    <w:rsid w:val="00787721"/>
    <w:rsid w:val="007A4F9C"/>
    <w:rsid w:val="007C73E8"/>
    <w:rsid w:val="007D37A2"/>
    <w:rsid w:val="007E0424"/>
    <w:rsid w:val="008069D0"/>
    <w:rsid w:val="00813971"/>
    <w:rsid w:val="0086074E"/>
    <w:rsid w:val="00874E50"/>
    <w:rsid w:val="00876684"/>
    <w:rsid w:val="00881F4A"/>
    <w:rsid w:val="00883FA8"/>
    <w:rsid w:val="00887716"/>
    <w:rsid w:val="008976A2"/>
    <w:rsid w:val="008C5C0E"/>
    <w:rsid w:val="008C7952"/>
    <w:rsid w:val="008D4873"/>
    <w:rsid w:val="008E258D"/>
    <w:rsid w:val="008E56E0"/>
    <w:rsid w:val="008F3F26"/>
    <w:rsid w:val="00947E15"/>
    <w:rsid w:val="0095477B"/>
    <w:rsid w:val="00980176"/>
    <w:rsid w:val="0098406F"/>
    <w:rsid w:val="00995DC7"/>
    <w:rsid w:val="009E2A15"/>
    <w:rsid w:val="009E4793"/>
    <w:rsid w:val="009E5251"/>
    <w:rsid w:val="009E6112"/>
    <w:rsid w:val="00A06D4D"/>
    <w:rsid w:val="00A114A4"/>
    <w:rsid w:val="00A119B6"/>
    <w:rsid w:val="00A20053"/>
    <w:rsid w:val="00A23B60"/>
    <w:rsid w:val="00A26D67"/>
    <w:rsid w:val="00A26F20"/>
    <w:rsid w:val="00A360BD"/>
    <w:rsid w:val="00A560BB"/>
    <w:rsid w:val="00A90466"/>
    <w:rsid w:val="00AC562F"/>
    <w:rsid w:val="00AC6DD9"/>
    <w:rsid w:val="00AD2BC2"/>
    <w:rsid w:val="00AE12FD"/>
    <w:rsid w:val="00AE6CFD"/>
    <w:rsid w:val="00AF75B7"/>
    <w:rsid w:val="00B10516"/>
    <w:rsid w:val="00B47AC4"/>
    <w:rsid w:val="00B56507"/>
    <w:rsid w:val="00B60009"/>
    <w:rsid w:val="00B7357F"/>
    <w:rsid w:val="00BA632E"/>
    <w:rsid w:val="00BE669D"/>
    <w:rsid w:val="00BF646E"/>
    <w:rsid w:val="00C2120F"/>
    <w:rsid w:val="00C36CBA"/>
    <w:rsid w:val="00C36EEE"/>
    <w:rsid w:val="00C37E7A"/>
    <w:rsid w:val="00C461E4"/>
    <w:rsid w:val="00C77E95"/>
    <w:rsid w:val="00C95AF1"/>
    <w:rsid w:val="00CD0CCD"/>
    <w:rsid w:val="00CF62AD"/>
    <w:rsid w:val="00D47407"/>
    <w:rsid w:val="00D952FA"/>
    <w:rsid w:val="00D969A4"/>
    <w:rsid w:val="00DA1F2D"/>
    <w:rsid w:val="00DA2FF8"/>
    <w:rsid w:val="00DE7211"/>
    <w:rsid w:val="00DE764A"/>
    <w:rsid w:val="00E00FC3"/>
    <w:rsid w:val="00E015CE"/>
    <w:rsid w:val="00E02893"/>
    <w:rsid w:val="00E04FE8"/>
    <w:rsid w:val="00E12862"/>
    <w:rsid w:val="00E40FC7"/>
    <w:rsid w:val="00E41BED"/>
    <w:rsid w:val="00E502F8"/>
    <w:rsid w:val="00E650A9"/>
    <w:rsid w:val="00E71E4D"/>
    <w:rsid w:val="00E8057A"/>
    <w:rsid w:val="00ED50DB"/>
    <w:rsid w:val="00ED5DF4"/>
    <w:rsid w:val="00EF21D8"/>
    <w:rsid w:val="00F41B26"/>
    <w:rsid w:val="00F55D3E"/>
    <w:rsid w:val="00F67D80"/>
    <w:rsid w:val="00FC4613"/>
    <w:rsid w:val="00FF7F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aliases w:val="mbg_egyenlet"/>
    <w:qFormat/>
    <w:rsid w:val="00874E50"/>
    <w:pPr>
      <w:tabs>
        <w:tab w:val="center" w:pos="4536"/>
        <w:tab w:val="right" w:pos="8505"/>
      </w:tabs>
      <w:spacing w:line="360" w:lineRule="auto"/>
      <w:jc w:val="both"/>
    </w:pPr>
    <w:rPr>
      <w:sz w:val="24"/>
      <w:szCs w:val="24"/>
      <w:lang w:val="en-GB" w:eastAsia="en-US"/>
    </w:rPr>
  </w:style>
  <w:style w:type="paragraph" w:styleId="Cmsor1">
    <w:name w:val="heading 1"/>
    <w:basedOn w:val="Norml"/>
    <w:next w:val="Norml"/>
    <w:qFormat/>
    <w:rsid w:val="000B473D"/>
    <w:pPr>
      <w:keepNext/>
      <w:numPr>
        <w:numId w:val="1"/>
      </w:numPr>
      <w:spacing w:before="240" w:after="60"/>
      <w:outlineLvl w:val="0"/>
    </w:pPr>
    <w:rPr>
      <w:rFonts w:cs="Arial"/>
      <w:b/>
      <w:bCs/>
      <w:kern w:val="32"/>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rsid w:val="000B473D"/>
    <w:rPr>
      <w:b/>
      <w:bCs/>
      <w:sz w:val="22"/>
      <w:lang w:val="hu-HU"/>
    </w:rPr>
  </w:style>
  <w:style w:type="character" w:styleId="Jegyzethivatkozs">
    <w:name w:val="annotation reference"/>
    <w:basedOn w:val="Bekezdsalapbettpusa"/>
    <w:rsid w:val="005D156D"/>
    <w:rPr>
      <w:sz w:val="16"/>
      <w:szCs w:val="16"/>
    </w:rPr>
  </w:style>
  <w:style w:type="paragraph" w:styleId="Jegyzetszveg">
    <w:name w:val="annotation text"/>
    <w:basedOn w:val="Norml"/>
    <w:link w:val="JegyzetszvegChar"/>
    <w:rsid w:val="005D156D"/>
    <w:rPr>
      <w:sz w:val="20"/>
      <w:szCs w:val="20"/>
    </w:rPr>
  </w:style>
  <w:style w:type="character" w:customStyle="1" w:styleId="JegyzetszvegChar">
    <w:name w:val="Jegyzetszöveg Char"/>
    <w:basedOn w:val="Bekezdsalapbettpusa"/>
    <w:link w:val="Jegyzetszveg"/>
    <w:rsid w:val="005D156D"/>
    <w:rPr>
      <w:lang w:val="en-GB" w:eastAsia="en-US"/>
    </w:rPr>
  </w:style>
  <w:style w:type="paragraph" w:styleId="Megjegyzstrgya">
    <w:name w:val="annotation subject"/>
    <w:basedOn w:val="Jegyzetszveg"/>
    <w:next w:val="Jegyzetszveg"/>
    <w:link w:val="MegjegyzstrgyaChar"/>
    <w:rsid w:val="005D156D"/>
    <w:rPr>
      <w:b/>
      <w:bCs/>
    </w:rPr>
  </w:style>
  <w:style w:type="character" w:customStyle="1" w:styleId="MegjegyzstrgyaChar">
    <w:name w:val="Megjegyzés tárgya Char"/>
    <w:basedOn w:val="JegyzetszvegChar"/>
    <w:link w:val="Megjegyzstrgya"/>
    <w:rsid w:val="005D156D"/>
    <w:rPr>
      <w:b/>
      <w:bCs/>
      <w:lang w:val="en-GB" w:eastAsia="en-US"/>
    </w:rPr>
  </w:style>
  <w:style w:type="paragraph" w:styleId="Buborkszveg">
    <w:name w:val="Balloon Text"/>
    <w:basedOn w:val="Norml"/>
    <w:link w:val="BuborkszvegChar"/>
    <w:rsid w:val="005D156D"/>
    <w:rPr>
      <w:rFonts w:ascii="Tahoma" w:hAnsi="Tahoma" w:cs="Tahoma"/>
      <w:sz w:val="16"/>
      <w:szCs w:val="16"/>
    </w:rPr>
  </w:style>
  <w:style w:type="character" w:customStyle="1" w:styleId="BuborkszvegChar">
    <w:name w:val="Buborékszöveg Char"/>
    <w:basedOn w:val="Bekezdsalapbettpusa"/>
    <w:link w:val="Buborkszveg"/>
    <w:rsid w:val="005D156D"/>
    <w:rPr>
      <w:rFonts w:ascii="Tahoma" w:hAnsi="Tahoma" w:cs="Tahoma"/>
      <w:sz w:val="16"/>
      <w:szCs w:val="16"/>
      <w:lang w:val="en-GB" w:eastAsia="en-US"/>
    </w:rPr>
  </w:style>
  <w:style w:type="character" w:styleId="Helyrzszveg">
    <w:name w:val="Placeholder Text"/>
    <w:basedOn w:val="Bekezdsalapbettpusa"/>
    <w:uiPriority w:val="99"/>
    <w:semiHidden/>
    <w:rsid w:val="005F08EE"/>
    <w:rPr>
      <w:color w:val="808080"/>
    </w:rPr>
  </w:style>
  <w:style w:type="paragraph" w:styleId="lfej">
    <w:name w:val="header"/>
    <w:basedOn w:val="Norml"/>
    <w:link w:val="lfejChar"/>
    <w:rsid w:val="00091DA0"/>
    <w:pPr>
      <w:tabs>
        <w:tab w:val="right" w:pos="9072"/>
      </w:tabs>
      <w:spacing w:line="240" w:lineRule="auto"/>
    </w:pPr>
  </w:style>
  <w:style w:type="character" w:customStyle="1" w:styleId="lfejChar">
    <w:name w:val="Élőfej Char"/>
    <w:basedOn w:val="Bekezdsalapbettpusa"/>
    <w:link w:val="lfej"/>
    <w:rsid w:val="00091DA0"/>
    <w:rPr>
      <w:sz w:val="24"/>
      <w:szCs w:val="24"/>
      <w:lang w:val="en-GB" w:eastAsia="en-US"/>
    </w:rPr>
  </w:style>
  <w:style w:type="paragraph" w:styleId="llb">
    <w:name w:val="footer"/>
    <w:basedOn w:val="Norml"/>
    <w:link w:val="llbChar"/>
    <w:uiPriority w:val="99"/>
    <w:rsid w:val="00091DA0"/>
    <w:pPr>
      <w:tabs>
        <w:tab w:val="right" w:pos="9072"/>
      </w:tabs>
      <w:spacing w:line="240" w:lineRule="auto"/>
    </w:pPr>
  </w:style>
  <w:style w:type="character" w:customStyle="1" w:styleId="llbChar">
    <w:name w:val="Élőláb Char"/>
    <w:basedOn w:val="Bekezdsalapbettpusa"/>
    <w:link w:val="llb"/>
    <w:uiPriority w:val="99"/>
    <w:rsid w:val="00091DA0"/>
    <w:rPr>
      <w:sz w:val="24"/>
      <w:szCs w:val="24"/>
      <w:lang w:val="en-GB" w:eastAsia="en-US"/>
    </w:rPr>
  </w:style>
  <w:style w:type="table" w:styleId="Rcsostblzat">
    <w:name w:val="Table Grid"/>
    <w:basedOn w:val="Normltblzat"/>
    <w:rsid w:val="00FC4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palrs">
    <w:name w:val="caption"/>
    <w:basedOn w:val="Norml"/>
    <w:next w:val="Norml"/>
    <w:unhideWhenUsed/>
    <w:qFormat/>
    <w:rsid w:val="00A114A4"/>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aliases w:val="mbg_egyenlet"/>
    <w:qFormat/>
    <w:rsid w:val="00874E50"/>
    <w:pPr>
      <w:tabs>
        <w:tab w:val="center" w:pos="4536"/>
        <w:tab w:val="right" w:pos="8505"/>
      </w:tabs>
      <w:spacing w:line="360" w:lineRule="auto"/>
      <w:jc w:val="both"/>
    </w:pPr>
    <w:rPr>
      <w:sz w:val="24"/>
      <w:szCs w:val="24"/>
      <w:lang w:val="en-GB" w:eastAsia="en-US"/>
    </w:rPr>
  </w:style>
  <w:style w:type="paragraph" w:styleId="Cmsor1">
    <w:name w:val="heading 1"/>
    <w:basedOn w:val="Norml"/>
    <w:next w:val="Norml"/>
    <w:qFormat/>
    <w:rsid w:val="000B473D"/>
    <w:pPr>
      <w:keepNext/>
      <w:numPr>
        <w:numId w:val="1"/>
      </w:numPr>
      <w:spacing w:before="240" w:after="60"/>
      <w:outlineLvl w:val="0"/>
    </w:pPr>
    <w:rPr>
      <w:rFonts w:cs="Arial"/>
      <w:b/>
      <w:bCs/>
      <w:kern w:val="32"/>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rsid w:val="000B473D"/>
    <w:rPr>
      <w:b/>
      <w:bCs/>
      <w:sz w:val="22"/>
      <w:lang w:val="hu-HU"/>
    </w:rPr>
  </w:style>
  <w:style w:type="character" w:styleId="Jegyzethivatkozs">
    <w:name w:val="annotation reference"/>
    <w:basedOn w:val="Bekezdsalapbettpusa"/>
    <w:rsid w:val="005D156D"/>
    <w:rPr>
      <w:sz w:val="16"/>
      <w:szCs w:val="16"/>
    </w:rPr>
  </w:style>
  <w:style w:type="paragraph" w:styleId="Jegyzetszveg">
    <w:name w:val="annotation text"/>
    <w:basedOn w:val="Norml"/>
    <w:link w:val="JegyzetszvegChar"/>
    <w:rsid w:val="005D156D"/>
    <w:rPr>
      <w:sz w:val="20"/>
      <w:szCs w:val="20"/>
    </w:rPr>
  </w:style>
  <w:style w:type="character" w:customStyle="1" w:styleId="JegyzetszvegChar">
    <w:name w:val="Jegyzetszöveg Char"/>
    <w:basedOn w:val="Bekezdsalapbettpusa"/>
    <w:link w:val="Jegyzetszveg"/>
    <w:rsid w:val="005D156D"/>
    <w:rPr>
      <w:lang w:val="en-GB" w:eastAsia="en-US"/>
    </w:rPr>
  </w:style>
  <w:style w:type="paragraph" w:styleId="Megjegyzstrgya">
    <w:name w:val="annotation subject"/>
    <w:basedOn w:val="Jegyzetszveg"/>
    <w:next w:val="Jegyzetszveg"/>
    <w:link w:val="MegjegyzstrgyaChar"/>
    <w:rsid w:val="005D156D"/>
    <w:rPr>
      <w:b/>
      <w:bCs/>
    </w:rPr>
  </w:style>
  <w:style w:type="character" w:customStyle="1" w:styleId="MegjegyzstrgyaChar">
    <w:name w:val="Megjegyzés tárgya Char"/>
    <w:basedOn w:val="JegyzetszvegChar"/>
    <w:link w:val="Megjegyzstrgya"/>
    <w:rsid w:val="005D156D"/>
    <w:rPr>
      <w:b/>
      <w:bCs/>
      <w:lang w:val="en-GB" w:eastAsia="en-US"/>
    </w:rPr>
  </w:style>
  <w:style w:type="paragraph" w:styleId="Buborkszveg">
    <w:name w:val="Balloon Text"/>
    <w:basedOn w:val="Norml"/>
    <w:link w:val="BuborkszvegChar"/>
    <w:rsid w:val="005D156D"/>
    <w:rPr>
      <w:rFonts w:ascii="Tahoma" w:hAnsi="Tahoma" w:cs="Tahoma"/>
      <w:sz w:val="16"/>
      <w:szCs w:val="16"/>
    </w:rPr>
  </w:style>
  <w:style w:type="character" w:customStyle="1" w:styleId="BuborkszvegChar">
    <w:name w:val="Buborékszöveg Char"/>
    <w:basedOn w:val="Bekezdsalapbettpusa"/>
    <w:link w:val="Buborkszveg"/>
    <w:rsid w:val="005D156D"/>
    <w:rPr>
      <w:rFonts w:ascii="Tahoma" w:hAnsi="Tahoma" w:cs="Tahoma"/>
      <w:sz w:val="16"/>
      <w:szCs w:val="16"/>
      <w:lang w:val="en-GB" w:eastAsia="en-US"/>
    </w:rPr>
  </w:style>
  <w:style w:type="character" w:styleId="Helyrzszveg">
    <w:name w:val="Placeholder Text"/>
    <w:basedOn w:val="Bekezdsalapbettpusa"/>
    <w:uiPriority w:val="99"/>
    <w:semiHidden/>
    <w:rsid w:val="005F08EE"/>
    <w:rPr>
      <w:color w:val="808080"/>
    </w:rPr>
  </w:style>
  <w:style w:type="paragraph" w:styleId="lfej">
    <w:name w:val="header"/>
    <w:basedOn w:val="Norml"/>
    <w:link w:val="lfejChar"/>
    <w:rsid w:val="00091DA0"/>
    <w:pPr>
      <w:tabs>
        <w:tab w:val="right" w:pos="9072"/>
      </w:tabs>
      <w:spacing w:line="240" w:lineRule="auto"/>
    </w:pPr>
  </w:style>
  <w:style w:type="character" w:customStyle="1" w:styleId="lfejChar">
    <w:name w:val="Élőfej Char"/>
    <w:basedOn w:val="Bekezdsalapbettpusa"/>
    <w:link w:val="lfej"/>
    <w:rsid w:val="00091DA0"/>
    <w:rPr>
      <w:sz w:val="24"/>
      <w:szCs w:val="24"/>
      <w:lang w:val="en-GB" w:eastAsia="en-US"/>
    </w:rPr>
  </w:style>
  <w:style w:type="paragraph" w:styleId="llb">
    <w:name w:val="footer"/>
    <w:basedOn w:val="Norml"/>
    <w:link w:val="llbChar"/>
    <w:uiPriority w:val="99"/>
    <w:rsid w:val="00091DA0"/>
    <w:pPr>
      <w:tabs>
        <w:tab w:val="right" w:pos="9072"/>
      </w:tabs>
      <w:spacing w:line="240" w:lineRule="auto"/>
    </w:pPr>
  </w:style>
  <w:style w:type="character" w:customStyle="1" w:styleId="llbChar">
    <w:name w:val="Élőláb Char"/>
    <w:basedOn w:val="Bekezdsalapbettpusa"/>
    <w:link w:val="llb"/>
    <w:uiPriority w:val="99"/>
    <w:rsid w:val="00091DA0"/>
    <w:rPr>
      <w:sz w:val="24"/>
      <w:szCs w:val="24"/>
      <w:lang w:val="en-GB" w:eastAsia="en-US"/>
    </w:rPr>
  </w:style>
  <w:style w:type="table" w:styleId="Rcsostblzat">
    <w:name w:val="Table Grid"/>
    <w:basedOn w:val="Normltblzat"/>
    <w:rsid w:val="00FC4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palrs">
    <w:name w:val="caption"/>
    <w:basedOn w:val="Norml"/>
    <w:next w:val="Norml"/>
    <w:unhideWhenUsed/>
    <w:qFormat/>
    <w:rsid w:val="00A114A4"/>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D21DF-09B1-428E-9893-2E554C01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9</Pages>
  <Words>3138</Words>
  <Characters>32220</Characters>
  <Application>Microsoft Office Word</Application>
  <DocSecurity>0</DocSecurity>
  <Lines>268</Lines>
  <Paragraphs>70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MTA KFKI Atomenergia Kutatóintézet</Company>
  <LinksUpToDate>false</LinksUpToDate>
  <CharactersWithSpaces>35288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Madas Pál</dc:creator>
  <cp:lastModifiedBy>Madas Pál</cp:lastModifiedBy>
  <cp:revision>43</cp:revision>
  <cp:lastPrinted>2012-03-13T14:56:00Z</cp:lastPrinted>
  <dcterms:created xsi:type="dcterms:W3CDTF">2012-03-07T16:19:00Z</dcterms:created>
  <dcterms:modified xsi:type="dcterms:W3CDTF">2012-03-14T22:43:00Z</dcterms:modified>
</cp:coreProperties>
</file>